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366" w:rsidRPr="00885EFB" w:rsidRDefault="00363366" w:rsidP="00363366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885EFB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025C68C" wp14:editId="543EC5FF">
            <wp:extent cx="34004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366" w:rsidRPr="00885EFB" w:rsidRDefault="00363366" w:rsidP="00363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3366" w:rsidRPr="00885EFB" w:rsidRDefault="00363366" w:rsidP="00363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3366" w:rsidRPr="00885EFB" w:rsidRDefault="00363366" w:rsidP="00363366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:rsidR="00363366" w:rsidRPr="00885EFB" w:rsidRDefault="00363366" w:rsidP="00363366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val="kk-KZ"/>
        </w:rPr>
      </w:pPr>
      <w:r w:rsidRPr="00885EFB">
        <w:rPr>
          <w:rFonts w:ascii="Verdana" w:eastAsia="Times New Roman" w:hAnsi="Verdana" w:cs="Times New Roman"/>
          <w:b/>
          <w:sz w:val="24"/>
          <w:szCs w:val="24"/>
          <w:lang w:val="kk-KZ"/>
        </w:rPr>
        <w:t>№</w:t>
      </w:r>
      <w:r>
        <w:rPr>
          <w:rFonts w:ascii="Verdana" w:eastAsia="Times New Roman" w:hAnsi="Verdana" w:cs="Times New Roman"/>
          <w:b/>
          <w:sz w:val="24"/>
          <w:szCs w:val="24"/>
        </w:rPr>
        <w:t>4</w:t>
      </w:r>
      <w:r w:rsidRPr="00EA4BCF">
        <w:rPr>
          <w:rFonts w:ascii="Verdana" w:eastAsia="Times New Roman" w:hAnsi="Verdana" w:cs="Times New Roman"/>
          <w:b/>
          <w:sz w:val="24"/>
          <w:szCs w:val="24"/>
        </w:rPr>
        <w:t>6</w:t>
      </w:r>
      <w:r w:rsidRPr="00885EFB">
        <w:rPr>
          <w:rFonts w:ascii="Verdana" w:eastAsia="Times New Roman" w:hAnsi="Verdana" w:cs="Times New Roman"/>
          <w:b/>
          <w:sz w:val="24"/>
          <w:szCs w:val="24"/>
          <w:lang w:val="kk-KZ"/>
        </w:rPr>
        <w:t xml:space="preserve"> БАСПАС</w:t>
      </w:r>
      <w:r w:rsidRPr="00885EFB">
        <w:rPr>
          <w:rFonts w:ascii="Arial" w:eastAsia="Times New Roman" w:hAnsi="Arial" w:cs="Arial"/>
          <w:b/>
          <w:sz w:val="24"/>
          <w:szCs w:val="24"/>
          <w:lang w:val="kk-KZ"/>
        </w:rPr>
        <w:t>Ө</w:t>
      </w:r>
      <w:r w:rsidRPr="00885EFB">
        <w:rPr>
          <w:rFonts w:ascii="Verdana" w:eastAsia="Times New Roman" w:hAnsi="Verdana" w:cs="Times New Roman"/>
          <w:b/>
          <w:sz w:val="24"/>
          <w:szCs w:val="24"/>
          <w:lang w:val="kk-KZ"/>
        </w:rPr>
        <w:t>З РЕЛИЗІ</w:t>
      </w:r>
    </w:p>
    <w:p w:rsidR="00363366" w:rsidRPr="00885EFB" w:rsidRDefault="00363366" w:rsidP="00363366">
      <w:pPr>
        <w:autoSpaceDE w:val="0"/>
        <w:autoSpaceDN w:val="0"/>
        <w:adjustRightInd w:val="0"/>
        <w:jc w:val="center"/>
        <w:rPr>
          <w:rFonts w:ascii="Verdana" w:eastAsia="Times New Roman" w:hAnsi="Verdana" w:cstheme="minorHAnsi"/>
          <w:b/>
          <w:bCs/>
          <w:snapToGrid w:val="0"/>
          <w:sz w:val="24"/>
          <w:szCs w:val="24"/>
          <w:lang w:val="kk-KZ"/>
        </w:rPr>
      </w:pPr>
    </w:p>
    <w:p w:rsidR="00EA4BCF" w:rsidRPr="00EA4BCF" w:rsidRDefault="00EA4BCF" w:rsidP="00EA4BCF">
      <w:pPr>
        <w:spacing w:after="0" w:line="240" w:lineRule="auto"/>
        <w:jc w:val="center"/>
        <w:rPr>
          <w:rFonts w:cstheme="minorHAnsi"/>
          <w:b/>
          <w:sz w:val="24"/>
          <w:szCs w:val="24"/>
          <w:lang w:val="kk-KZ"/>
        </w:rPr>
      </w:pPr>
      <w:r w:rsidRPr="00EA4BCF">
        <w:rPr>
          <w:rFonts w:cstheme="minorHAnsi"/>
          <w:b/>
          <w:sz w:val="24"/>
          <w:szCs w:val="24"/>
          <w:lang w:val="kk-KZ"/>
        </w:rPr>
        <w:t>Инфляциялық таргеттеу режіміне өтуге байланысты жеке тұлғалардың ұлттық валютада (теңгеде) ашылған депозиттері бойынша бағамдық айырманы төлеу тәртібін бекіту туралы</w:t>
      </w:r>
    </w:p>
    <w:p w:rsidR="00363366" w:rsidRPr="00EA4BCF" w:rsidRDefault="00363366" w:rsidP="00363366">
      <w:pPr>
        <w:spacing w:after="0" w:line="240" w:lineRule="auto"/>
        <w:rPr>
          <w:rFonts w:ascii="Verdana" w:eastAsia="Times New Roman" w:hAnsi="Verdana" w:cs="Times New Roman"/>
          <w:bCs/>
          <w:snapToGrid w:val="0"/>
          <w:sz w:val="24"/>
          <w:szCs w:val="24"/>
          <w:lang w:val="kk-KZ"/>
        </w:rPr>
      </w:pPr>
    </w:p>
    <w:p w:rsidR="00363366" w:rsidRPr="00EA4BCF" w:rsidRDefault="00363366" w:rsidP="00363366">
      <w:pPr>
        <w:spacing w:after="0" w:line="240" w:lineRule="auto"/>
        <w:rPr>
          <w:rFonts w:ascii="Verdana" w:eastAsia="Times New Roman" w:hAnsi="Verdana" w:cstheme="minorHAnsi"/>
          <w:sz w:val="24"/>
          <w:szCs w:val="24"/>
          <w:lang w:val="kk-KZ"/>
        </w:rPr>
      </w:pPr>
      <w:r w:rsidRPr="00EA4BCF">
        <w:rPr>
          <w:rFonts w:ascii="Verdana" w:eastAsia="Times New Roman" w:hAnsi="Verdana" w:cstheme="minorHAnsi"/>
          <w:sz w:val="24"/>
          <w:szCs w:val="24"/>
          <w:lang w:val="kk-KZ"/>
        </w:rPr>
        <w:t>2015 жыл</w:t>
      </w:r>
      <w:r w:rsidRPr="00EA4BCF">
        <w:rPr>
          <w:rFonts w:ascii="Arial" w:eastAsia="Times New Roman" w:hAnsi="Arial" w:cs="Arial"/>
          <w:sz w:val="24"/>
          <w:szCs w:val="24"/>
          <w:lang w:val="kk-KZ"/>
        </w:rPr>
        <w:t>ғ</w:t>
      </w:r>
      <w:r w:rsidRPr="00EA4BCF">
        <w:rPr>
          <w:rFonts w:ascii="Verdana" w:eastAsia="Times New Roman" w:hAnsi="Verdana" w:cstheme="minorHAnsi"/>
          <w:sz w:val="24"/>
          <w:szCs w:val="24"/>
          <w:lang w:val="kk-KZ"/>
        </w:rPr>
        <w:t xml:space="preserve">ы 9 </w:t>
      </w:r>
      <w:r w:rsidR="00EA4BCF" w:rsidRPr="00EA4BCF">
        <w:rPr>
          <w:rFonts w:ascii="Arial" w:hAnsi="Arial" w:cs="Arial"/>
          <w:bCs/>
          <w:sz w:val="24"/>
          <w:szCs w:val="24"/>
          <w:lang w:val="kk-KZ"/>
        </w:rPr>
        <w:t>қ</w:t>
      </w:r>
      <w:r w:rsidR="00EA4BCF" w:rsidRPr="00EA4BCF">
        <w:rPr>
          <w:rFonts w:ascii="Verdana" w:hAnsi="Verdana" w:cs="Verdana"/>
          <w:bCs/>
          <w:sz w:val="24"/>
          <w:szCs w:val="24"/>
          <w:lang w:val="kk-KZ"/>
        </w:rPr>
        <w:t>ырк</w:t>
      </w:r>
      <w:r w:rsidR="00EA4BCF" w:rsidRPr="00EA4BCF">
        <w:rPr>
          <w:rFonts w:ascii="Arial" w:hAnsi="Arial" w:cs="Arial"/>
          <w:bCs/>
          <w:sz w:val="24"/>
          <w:szCs w:val="24"/>
          <w:lang w:val="kk-KZ"/>
        </w:rPr>
        <w:t>ү</w:t>
      </w:r>
      <w:r w:rsidR="00EA4BCF" w:rsidRPr="00EA4BCF">
        <w:rPr>
          <w:rFonts w:ascii="Verdana" w:hAnsi="Verdana" w:cs="Verdana"/>
          <w:bCs/>
          <w:sz w:val="24"/>
          <w:szCs w:val="24"/>
          <w:lang w:val="kk-KZ"/>
        </w:rPr>
        <w:t>йек</w:t>
      </w:r>
      <w:r w:rsidRPr="00EA4BCF">
        <w:rPr>
          <w:rFonts w:ascii="Verdana" w:eastAsia="Times New Roman" w:hAnsi="Verdana" w:cstheme="minorHAnsi"/>
          <w:sz w:val="24"/>
          <w:szCs w:val="24"/>
          <w:lang w:val="kk-KZ"/>
        </w:rPr>
        <w:t xml:space="preserve">                             </w:t>
      </w:r>
      <w:r w:rsidR="00EA4BCF" w:rsidRPr="00EA4BCF">
        <w:rPr>
          <w:rFonts w:ascii="Verdana" w:eastAsia="Times New Roman" w:hAnsi="Verdana" w:cstheme="minorHAnsi"/>
          <w:sz w:val="24"/>
          <w:szCs w:val="24"/>
          <w:lang w:val="kk-KZ"/>
        </w:rPr>
        <w:t xml:space="preserve">                </w:t>
      </w:r>
      <w:r w:rsidR="00EA4BCF" w:rsidRPr="00EA4BCF">
        <w:rPr>
          <w:rFonts w:ascii="Verdana" w:eastAsia="Times New Roman" w:hAnsi="Verdana" w:cstheme="minorHAnsi"/>
          <w:sz w:val="24"/>
          <w:szCs w:val="24"/>
          <w:lang w:val="en-US"/>
        </w:rPr>
        <w:t xml:space="preserve">  </w:t>
      </w:r>
      <w:r w:rsidRPr="00EA4BCF">
        <w:rPr>
          <w:rFonts w:ascii="Verdana" w:eastAsia="Times New Roman" w:hAnsi="Verdana" w:cstheme="minorHAnsi"/>
          <w:sz w:val="24"/>
          <w:szCs w:val="24"/>
          <w:lang w:val="kk-KZ"/>
        </w:rPr>
        <w:t xml:space="preserve">  </w:t>
      </w:r>
      <w:r w:rsidR="00EA4BCF" w:rsidRPr="00EA4BCF">
        <w:rPr>
          <w:rFonts w:ascii="Verdana" w:eastAsia="Times New Roman" w:hAnsi="Verdana" w:cstheme="minorHAnsi"/>
          <w:sz w:val="24"/>
          <w:szCs w:val="24"/>
          <w:lang w:val="kk-KZ"/>
        </w:rPr>
        <w:t xml:space="preserve">       </w:t>
      </w:r>
      <w:r w:rsidR="00EA4BCF">
        <w:rPr>
          <w:rFonts w:ascii="Verdana" w:eastAsia="Times New Roman" w:hAnsi="Verdana" w:cstheme="minorHAnsi"/>
          <w:sz w:val="24"/>
          <w:szCs w:val="24"/>
          <w:lang w:val="en-US"/>
        </w:rPr>
        <w:t xml:space="preserve">     </w:t>
      </w:r>
      <w:r w:rsidRPr="00EA4BCF">
        <w:rPr>
          <w:rFonts w:ascii="Verdana" w:eastAsia="Times New Roman" w:hAnsi="Verdana" w:cstheme="minorHAnsi"/>
          <w:sz w:val="24"/>
          <w:szCs w:val="24"/>
          <w:lang w:val="kk-KZ"/>
        </w:rPr>
        <w:t xml:space="preserve">Алматы </w:t>
      </w:r>
      <w:r w:rsidRPr="00EA4BCF">
        <w:rPr>
          <w:rFonts w:ascii="Arial" w:eastAsia="Times New Roman" w:hAnsi="Arial" w:cs="Arial"/>
          <w:sz w:val="24"/>
          <w:szCs w:val="24"/>
          <w:lang w:val="kk-KZ"/>
        </w:rPr>
        <w:t>қ</w:t>
      </w:r>
      <w:r w:rsidRPr="00EA4BCF">
        <w:rPr>
          <w:rFonts w:ascii="Verdana" w:eastAsia="Times New Roman" w:hAnsi="Verdana" w:cstheme="minorHAnsi"/>
          <w:sz w:val="24"/>
          <w:szCs w:val="24"/>
          <w:lang w:val="kk-KZ"/>
        </w:rPr>
        <w:t>.</w:t>
      </w:r>
    </w:p>
    <w:p w:rsidR="00363366" w:rsidRPr="00EA4BCF" w:rsidRDefault="00363366" w:rsidP="00363366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sz w:val="28"/>
          <w:szCs w:val="28"/>
          <w:lang w:val="en-US"/>
        </w:rPr>
      </w:pPr>
    </w:p>
    <w:p w:rsidR="00363366" w:rsidRPr="00363366" w:rsidRDefault="00363366" w:rsidP="00363366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kk-KZ"/>
        </w:rPr>
      </w:pPr>
      <w:r w:rsidRPr="00363366">
        <w:rPr>
          <w:rFonts w:cstheme="minorHAnsi"/>
          <w:sz w:val="24"/>
          <w:szCs w:val="24"/>
          <w:lang w:val="kk-KZ" w:eastAsia="ru-RU"/>
        </w:rPr>
        <w:t xml:space="preserve">Қазақстан Республикасы Президентінің тапсырмасы бойынша ҚР Ұлттық Банкі </w:t>
      </w:r>
      <w:r w:rsidRPr="00363366">
        <w:rPr>
          <w:rFonts w:cstheme="minorHAnsi"/>
          <w:sz w:val="24"/>
          <w:szCs w:val="24"/>
          <w:lang w:val="kk-KZ"/>
        </w:rPr>
        <w:t>Еркін өзгермелі айырбастау бағамы режіміне өтуге байланысты жеке тұлғалардың ұлттық валютада (теңгеде) ашылған депозиттері бойынша бағамдық айырманы төлеу тетігін әзірлеп, тәртібін бекітті.</w:t>
      </w:r>
    </w:p>
    <w:p w:rsidR="00363366" w:rsidRPr="00363366" w:rsidRDefault="00363366" w:rsidP="00363366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kk-KZ"/>
        </w:rPr>
      </w:pPr>
      <w:r w:rsidRPr="00363366">
        <w:rPr>
          <w:rFonts w:cstheme="minorHAnsi"/>
          <w:sz w:val="24"/>
          <w:szCs w:val="24"/>
          <w:lang w:val="kk-KZ"/>
        </w:rPr>
        <w:t>Тәртіпке сәйкес, салымшыда 2015 жылғы 18 тамыз операциялық күннің соңында екінші деңгейдегі банктерде және /немесе «Қазпочта» АҚ-та теңгемен ашылған депозит болған кезде оған бағамдық айырма төленетін болады. Бұл ретте 2015 жылғы 18 тамыздағы жағдай бойынша банк шотындағы салым бойынша қалдық 1 миллион теңгеден аспауға тиіс.</w:t>
      </w:r>
    </w:p>
    <w:p w:rsidR="00363366" w:rsidRPr="00363366" w:rsidRDefault="00363366" w:rsidP="00363366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kk-KZ"/>
        </w:rPr>
      </w:pPr>
      <w:r w:rsidRPr="00363366">
        <w:rPr>
          <w:rFonts w:cstheme="minorHAnsi"/>
          <w:sz w:val="24"/>
          <w:szCs w:val="24"/>
          <w:lang w:val="kk-KZ"/>
        </w:rPr>
        <w:t>Бағамдық айырманы төлеу жеке тұлғалардың мерзімді депозиттері бойынша жүзеге асырылады.</w:t>
      </w:r>
    </w:p>
    <w:p w:rsidR="00363366" w:rsidRPr="00363366" w:rsidRDefault="00363366" w:rsidP="00363366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kk-KZ"/>
        </w:rPr>
      </w:pPr>
      <w:r w:rsidRPr="00363366">
        <w:rPr>
          <w:rFonts w:cstheme="minorHAnsi"/>
          <w:sz w:val="24"/>
          <w:szCs w:val="24"/>
          <w:lang w:val="kk-KZ"/>
        </w:rPr>
        <w:t>Бағамдық айырманы алу үшін салымшы депозитті арнайы шотта кемінде бір жыл сақтау жөнінде өзіне міндеттеме алады.</w:t>
      </w:r>
    </w:p>
    <w:p w:rsidR="00363366" w:rsidRPr="00363366" w:rsidRDefault="00363366" w:rsidP="00363366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kk-KZ"/>
        </w:rPr>
      </w:pPr>
      <w:r w:rsidRPr="00363366">
        <w:rPr>
          <w:rFonts w:cstheme="minorHAnsi"/>
          <w:sz w:val="24"/>
          <w:szCs w:val="24"/>
          <w:lang w:val="kk-KZ"/>
        </w:rPr>
        <w:t>Салымшылар 2015 жылғы 1 қазанға дейін банкке депозитті қайта ресімдеу үшін өтініш жасауы қажет.</w:t>
      </w:r>
    </w:p>
    <w:p w:rsidR="00363366" w:rsidRPr="00363366" w:rsidRDefault="00363366" w:rsidP="00363366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kk-KZ"/>
        </w:rPr>
      </w:pPr>
      <w:r w:rsidRPr="00363366">
        <w:rPr>
          <w:rFonts w:cstheme="minorHAnsi"/>
          <w:sz w:val="24"/>
          <w:szCs w:val="24"/>
          <w:lang w:val="kk-KZ"/>
        </w:rPr>
        <w:t>Өтемақы тетігінің шеңберінде 2 млн. жуық салымшыға бағамдық айырманы төлеу жоспарланып отыр.</w:t>
      </w:r>
    </w:p>
    <w:p w:rsidR="00363366" w:rsidRPr="00363366" w:rsidRDefault="00363366" w:rsidP="00363366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kk-KZ"/>
        </w:rPr>
      </w:pPr>
      <w:r w:rsidRPr="00363366">
        <w:rPr>
          <w:rFonts w:cstheme="minorHAnsi"/>
          <w:sz w:val="24"/>
          <w:szCs w:val="24"/>
          <w:lang w:val="kk-KZ"/>
        </w:rPr>
        <w:t>Ақы төлеу шарттарымен Ұлттық Банктің сайтында «Қаржылық қызметтерді тұтынушылардың құқықтарын қорғау» бөлімінде танысуға болады.</w:t>
      </w:r>
    </w:p>
    <w:p w:rsidR="00363366" w:rsidRDefault="00363366" w:rsidP="00363366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en-US"/>
        </w:rPr>
      </w:pPr>
      <w:r w:rsidRPr="00363366">
        <w:rPr>
          <w:rFonts w:cstheme="minorHAnsi"/>
          <w:sz w:val="24"/>
          <w:szCs w:val="24"/>
          <w:lang w:val="kk-KZ"/>
        </w:rPr>
        <w:t xml:space="preserve">Түсініктемелер </w:t>
      </w:r>
      <w:bookmarkStart w:id="0" w:name="_GoBack"/>
      <w:bookmarkEnd w:id="0"/>
      <w:r w:rsidRPr="00363366">
        <w:rPr>
          <w:rFonts w:cstheme="minorHAnsi"/>
          <w:sz w:val="24"/>
          <w:szCs w:val="24"/>
          <w:lang w:val="kk-KZ"/>
        </w:rPr>
        <w:t xml:space="preserve">мен консультацияларды ҚР Ұлттық Банкінің Қоғамдық қабылдау бөлмесінен Алматы қ, Әйтеке би, 67 мекенжайы бойынша, сондай-ақ ҚР Ұлттық Банкінің аумақтық филиалдарынан, ҚР Ұлттық Банкінің сайтында «Кері байланыс» нысаны арқылы                                 (http://www.nationalbank.kz/?getpg=Feedback%20for%20page&amp;switch=russian), сондай-ақ мынадай телефондар бойынша алуға болады: +7 (727) 2 788 085, 2 788 008.   </w:t>
      </w:r>
    </w:p>
    <w:p w:rsidR="00EA4BCF" w:rsidRPr="00EA4BCF" w:rsidRDefault="00EA4BCF" w:rsidP="00363366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en-US"/>
        </w:rPr>
      </w:pPr>
    </w:p>
    <w:p w:rsidR="00363366" w:rsidRPr="00EA4BCF" w:rsidRDefault="00363366" w:rsidP="00363366">
      <w:pPr>
        <w:spacing w:after="0" w:line="240" w:lineRule="auto"/>
        <w:ind w:right="283"/>
        <w:jc w:val="both"/>
        <w:rPr>
          <w:rFonts w:ascii="Calibri" w:eastAsia="Times New Roman" w:hAnsi="Calibri" w:cs="Times New Roman"/>
          <w:i/>
          <w:sz w:val="24"/>
          <w:szCs w:val="24"/>
          <w:lang w:val="kk-KZ"/>
        </w:rPr>
      </w:pPr>
    </w:p>
    <w:p w:rsidR="00363366" w:rsidRPr="00885EFB" w:rsidRDefault="00363366" w:rsidP="00363366">
      <w:pPr>
        <w:autoSpaceDE w:val="0"/>
        <w:autoSpaceDN w:val="0"/>
        <w:adjustRightInd w:val="0"/>
        <w:spacing w:after="0" w:line="240" w:lineRule="auto"/>
        <w:ind w:left="459" w:right="283"/>
        <w:jc w:val="center"/>
        <w:rPr>
          <w:rFonts w:ascii="Calibri" w:eastAsia="Times New Roman" w:hAnsi="Calibri" w:cs="Times New Roman"/>
          <w:lang w:eastAsia="ru-RU"/>
        </w:rPr>
      </w:pPr>
      <w:r w:rsidRPr="00885EFB">
        <w:rPr>
          <w:rFonts w:ascii="Calibri" w:eastAsia="Times New Roman" w:hAnsi="Calibri" w:cs="Times New Roman"/>
          <w:lang w:val="kk-KZ" w:eastAsia="ru-RU"/>
        </w:rPr>
        <w:t xml:space="preserve">Толығырақ ақпаратты мына телефондар бойынша алуға болады: </w:t>
      </w:r>
    </w:p>
    <w:p w:rsidR="00363366" w:rsidRPr="00885EFB" w:rsidRDefault="00363366" w:rsidP="00363366">
      <w:pPr>
        <w:autoSpaceDE w:val="0"/>
        <w:autoSpaceDN w:val="0"/>
        <w:adjustRightInd w:val="0"/>
        <w:spacing w:after="0" w:line="240" w:lineRule="auto"/>
        <w:ind w:left="459" w:right="283"/>
        <w:jc w:val="center"/>
        <w:rPr>
          <w:rFonts w:ascii="Calibri" w:eastAsia="Times New Roman" w:hAnsi="Calibri" w:cs="Times New Roman"/>
          <w:lang w:val="en-US" w:eastAsia="ru-RU"/>
        </w:rPr>
      </w:pPr>
      <w:r w:rsidRPr="00885EFB">
        <w:rPr>
          <w:rFonts w:ascii="Calibri" w:eastAsia="Times New Roman" w:hAnsi="Calibri" w:cs="Times New Roman"/>
          <w:lang w:val="kk-KZ" w:eastAsia="ru-RU"/>
        </w:rPr>
        <w:t xml:space="preserve">+7 (727) 2704 639, </w:t>
      </w:r>
    </w:p>
    <w:p w:rsidR="00363366" w:rsidRPr="00885EFB" w:rsidRDefault="00363366" w:rsidP="00363366">
      <w:pPr>
        <w:autoSpaceDE w:val="0"/>
        <w:autoSpaceDN w:val="0"/>
        <w:adjustRightInd w:val="0"/>
        <w:spacing w:after="0" w:line="240" w:lineRule="auto"/>
        <w:ind w:left="459" w:right="283"/>
        <w:jc w:val="center"/>
        <w:rPr>
          <w:rFonts w:ascii="Calibri" w:eastAsia="Times New Roman" w:hAnsi="Calibri" w:cs="Times New Roman"/>
          <w:lang w:val="en-US" w:eastAsia="ru-RU"/>
        </w:rPr>
      </w:pPr>
      <w:r w:rsidRPr="00885EFB">
        <w:rPr>
          <w:rFonts w:ascii="Calibri" w:eastAsia="Times New Roman" w:hAnsi="Calibri" w:cs="Times New Roman"/>
          <w:lang w:val="kk-KZ" w:eastAsia="ru-RU"/>
        </w:rPr>
        <w:t xml:space="preserve">+7 (727) 2704 585, </w:t>
      </w:r>
    </w:p>
    <w:p w:rsidR="00363366" w:rsidRPr="00885EFB" w:rsidRDefault="00363366" w:rsidP="00363366">
      <w:pPr>
        <w:autoSpaceDE w:val="0"/>
        <w:autoSpaceDN w:val="0"/>
        <w:adjustRightInd w:val="0"/>
        <w:spacing w:after="0" w:line="240" w:lineRule="auto"/>
        <w:ind w:left="459" w:right="283"/>
        <w:jc w:val="center"/>
        <w:rPr>
          <w:rFonts w:ascii="Calibri" w:eastAsia="Times New Roman" w:hAnsi="Calibri" w:cs="Times New Roman"/>
          <w:lang w:val="en-US" w:eastAsia="ru-RU"/>
        </w:rPr>
      </w:pPr>
      <w:r w:rsidRPr="00885EFB">
        <w:rPr>
          <w:rFonts w:ascii="Calibri" w:eastAsia="Times New Roman" w:hAnsi="Calibri" w:cs="Times New Roman"/>
          <w:lang w:val="kk-KZ" w:eastAsia="ru-RU"/>
        </w:rPr>
        <w:t xml:space="preserve">+7 (727) 3302 497,  </w:t>
      </w:r>
    </w:p>
    <w:p w:rsidR="00363366" w:rsidRPr="00885EFB" w:rsidRDefault="00363366" w:rsidP="00363366">
      <w:pPr>
        <w:autoSpaceDE w:val="0"/>
        <w:autoSpaceDN w:val="0"/>
        <w:adjustRightInd w:val="0"/>
        <w:spacing w:after="0" w:line="240" w:lineRule="auto"/>
        <w:ind w:left="459" w:right="283"/>
        <w:jc w:val="center"/>
        <w:rPr>
          <w:rFonts w:ascii="Calibri" w:eastAsia="Times New Roman" w:hAnsi="Calibri" w:cs="Times New Roman"/>
          <w:lang w:val="en-US" w:eastAsia="ru-RU"/>
        </w:rPr>
      </w:pPr>
      <w:r w:rsidRPr="00885EFB">
        <w:rPr>
          <w:rFonts w:ascii="Calibri" w:eastAsia="Times New Roman" w:hAnsi="Calibri" w:cs="Times New Roman"/>
          <w:lang w:val="kk-KZ" w:eastAsia="ru-RU"/>
        </w:rPr>
        <w:t xml:space="preserve">    e-mail: </w:t>
      </w:r>
      <w:hyperlink r:id="rId6" w:history="1">
        <w:r w:rsidRPr="00885EFB">
          <w:rPr>
            <w:rFonts w:ascii="Calibri" w:eastAsia="Times New Roman" w:hAnsi="Calibri" w:cs="Times New Roman"/>
            <w:lang w:val="kk-KZ" w:eastAsia="ru-RU"/>
          </w:rPr>
          <w:t>press@nationalbank.kz</w:t>
        </w:r>
      </w:hyperlink>
      <w:r w:rsidRPr="00885EFB">
        <w:rPr>
          <w:rFonts w:ascii="Calibri" w:eastAsia="Times New Roman" w:hAnsi="Calibri" w:cs="Times New Roman"/>
          <w:lang w:val="kk-KZ" w:eastAsia="ru-RU"/>
        </w:rPr>
        <w:t>,</w:t>
      </w:r>
    </w:p>
    <w:p w:rsidR="00BF79DB" w:rsidRPr="00363366" w:rsidRDefault="00363366" w:rsidP="00363366">
      <w:pPr>
        <w:autoSpaceDE w:val="0"/>
        <w:autoSpaceDN w:val="0"/>
        <w:adjustRightInd w:val="0"/>
        <w:spacing w:after="0" w:line="240" w:lineRule="auto"/>
        <w:ind w:left="459" w:right="283"/>
        <w:jc w:val="center"/>
        <w:rPr>
          <w:rFonts w:ascii="Calibri" w:eastAsia="Times New Roman" w:hAnsi="Calibri" w:cs="Times New Roman"/>
        </w:rPr>
      </w:pPr>
      <w:r w:rsidRPr="00885EFB">
        <w:rPr>
          <w:rFonts w:ascii="Calibri" w:eastAsia="Times New Roman" w:hAnsi="Calibri" w:cs="Times New Roman"/>
          <w:lang w:val="kk-KZ" w:eastAsia="ru-RU"/>
        </w:rPr>
        <w:t xml:space="preserve"> www.nationalbank.kz</w:t>
      </w:r>
    </w:p>
    <w:sectPr w:rsidR="00BF79DB" w:rsidRPr="00363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2C4"/>
    <w:rsid w:val="00363366"/>
    <w:rsid w:val="004A3337"/>
    <w:rsid w:val="004C39D5"/>
    <w:rsid w:val="005922C4"/>
    <w:rsid w:val="00BF79DB"/>
    <w:rsid w:val="00EA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3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3366"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99"/>
    <w:rsid w:val="0036336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3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3366"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99"/>
    <w:rsid w:val="0036336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ess@nationalbank.k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Yntykbaeva</dc:creator>
  <cp:keywords/>
  <dc:description/>
  <cp:lastModifiedBy>Saule Yntykbaeva</cp:lastModifiedBy>
  <cp:revision>5</cp:revision>
  <dcterms:created xsi:type="dcterms:W3CDTF">2015-09-09T03:59:00Z</dcterms:created>
  <dcterms:modified xsi:type="dcterms:W3CDTF">2015-09-09T04:19:00Z</dcterms:modified>
</cp:coreProperties>
</file>