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D5" w:rsidRPr="003B03D5" w:rsidRDefault="003B03D5" w:rsidP="003B03D5">
      <w:pPr>
        <w:spacing w:after="0" w:line="240" w:lineRule="auto"/>
        <w:rPr>
          <w:rFonts w:ascii="Times New Roman" w:eastAsia="Times New Roman" w:hAnsi="Times New Roman" w:cs="Times New Roman"/>
          <w:b/>
          <w:noProof/>
          <w:sz w:val="24"/>
          <w:szCs w:val="24"/>
        </w:rPr>
      </w:pPr>
      <w:r w:rsidRPr="003B03D5">
        <w:rPr>
          <w:rFonts w:ascii="Times New Roman" w:eastAsia="Times New Roman" w:hAnsi="Times New Roman" w:cs="Times New Roman"/>
          <w:b/>
          <w:noProof/>
          <w:sz w:val="24"/>
          <w:szCs w:val="24"/>
          <w:lang w:eastAsia="ru-RU"/>
        </w:rPr>
        <w:drawing>
          <wp:inline distT="0" distB="0" distL="0" distR="0" wp14:anchorId="16EBF442" wp14:editId="75064CE8">
            <wp:extent cx="4057650" cy="706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9099" cy="706407"/>
                    </a:xfrm>
                    <a:prstGeom prst="rect">
                      <a:avLst/>
                    </a:prstGeom>
                    <a:noFill/>
                    <a:ln>
                      <a:noFill/>
                    </a:ln>
                  </pic:spPr>
                </pic:pic>
              </a:graphicData>
            </a:graphic>
          </wp:inline>
        </w:drawing>
      </w:r>
    </w:p>
    <w:p w:rsidR="003B03D5" w:rsidRDefault="003B03D5" w:rsidP="003B03D5">
      <w:pPr>
        <w:spacing w:after="0" w:line="240" w:lineRule="auto"/>
        <w:rPr>
          <w:rFonts w:ascii="Verdana" w:eastAsia="Times New Roman" w:hAnsi="Verdana" w:cs="Times New Roman"/>
          <w:b/>
          <w:noProof/>
          <w:sz w:val="24"/>
          <w:szCs w:val="24"/>
        </w:rPr>
      </w:pPr>
    </w:p>
    <w:p w:rsidR="003B03D5" w:rsidRDefault="003B03D5" w:rsidP="003B03D5">
      <w:pPr>
        <w:spacing w:after="0" w:line="240" w:lineRule="auto"/>
        <w:rPr>
          <w:rFonts w:ascii="Verdana" w:eastAsia="Times New Roman" w:hAnsi="Verdana" w:cs="Times New Roman"/>
          <w:b/>
          <w:noProof/>
          <w:sz w:val="24"/>
          <w:szCs w:val="24"/>
        </w:rPr>
      </w:pPr>
    </w:p>
    <w:p w:rsidR="003B03D5" w:rsidRPr="003B03D5" w:rsidRDefault="003B03D5" w:rsidP="003B03D5">
      <w:pPr>
        <w:spacing w:after="0" w:line="240" w:lineRule="auto"/>
        <w:rPr>
          <w:rFonts w:ascii="Verdana" w:eastAsia="Times New Roman" w:hAnsi="Verdana" w:cs="Times New Roman"/>
          <w:b/>
          <w:noProof/>
          <w:sz w:val="24"/>
          <w:szCs w:val="24"/>
        </w:rPr>
      </w:pPr>
    </w:p>
    <w:p w:rsidR="003B03D5" w:rsidRPr="003B03D5" w:rsidRDefault="000217FF" w:rsidP="003B03D5">
      <w:pPr>
        <w:spacing w:after="0" w:line="240" w:lineRule="auto"/>
        <w:jc w:val="center"/>
        <w:rPr>
          <w:rFonts w:ascii="Verdana" w:eastAsia="Times New Roman" w:hAnsi="Verdana" w:cs="Times New Roman"/>
          <w:b/>
          <w:sz w:val="24"/>
          <w:szCs w:val="24"/>
          <w:lang w:val="en-US"/>
        </w:rPr>
      </w:pPr>
      <w:r>
        <w:rPr>
          <w:rFonts w:ascii="Verdana" w:eastAsia="Times New Roman" w:hAnsi="Verdana" w:cs="Times New Roman"/>
          <w:b/>
          <w:sz w:val="24"/>
          <w:szCs w:val="24"/>
          <w:lang w:val="en-US"/>
        </w:rPr>
        <w:t>№</w:t>
      </w:r>
      <w:r>
        <w:rPr>
          <w:rFonts w:ascii="Verdana" w:eastAsia="Times New Roman" w:hAnsi="Verdana" w:cs="Times New Roman"/>
          <w:b/>
          <w:sz w:val="24"/>
          <w:szCs w:val="24"/>
        </w:rPr>
        <w:t xml:space="preserve"> 36</w:t>
      </w:r>
      <w:r w:rsidR="003B03D5" w:rsidRPr="003B03D5">
        <w:rPr>
          <w:rFonts w:ascii="Verdana" w:eastAsia="Times New Roman" w:hAnsi="Verdana" w:cs="Times New Roman"/>
          <w:b/>
          <w:sz w:val="24"/>
          <w:szCs w:val="24"/>
          <w:lang w:val="en-US"/>
        </w:rPr>
        <w:t xml:space="preserve"> </w:t>
      </w:r>
      <w:r w:rsidR="003B03D5" w:rsidRPr="003B03D5">
        <w:rPr>
          <w:rFonts w:ascii="Verdana" w:eastAsia="Times New Roman" w:hAnsi="Verdana" w:cs="Times New Roman"/>
          <w:b/>
          <w:sz w:val="24"/>
          <w:szCs w:val="24"/>
          <w:lang w:val="kk-KZ"/>
        </w:rPr>
        <w:t>БАСПАС</w:t>
      </w:r>
      <w:r w:rsidR="003B03D5" w:rsidRPr="003B03D5">
        <w:rPr>
          <w:rFonts w:ascii="Arial" w:eastAsia="Times New Roman" w:hAnsi="Arial" w:cs="Arial"/>
          <w:b/>
          <w:sz w:val="24"/>
          <w:szCs w:val="24"/>
          <w:lang w:val="kk-KZ"/>
        </w:rPr>
        <w:t>Ө</w:t>
      </w:r>
      <w:r w:rsidR="003B03D5" w:rsidRPr="003B03D5">
        <w:rPr>
          <w:rFonts w:ascii="Verdana" w:eastAsia="Times New Roman" w:hAnsi="Verdana" w:cs="Verdana"/>
          <w:b/>
          <w:sz w:val="24"/>
          <w:szCs w:val="24"/>
          <w:lang w:val="kk-KZ"/>
        </w:rPr>
        <w:t>З</w:t>
      </w:r>
      <w:r w:rsidR="003B03D5" w:rsidRPr="003B03D5">
        <w:rPr>
          <w:rFonts w:ascii="Verdana" w:eastAsia="Times New Roman" w:hAnsi="Verdana" w:cs="Times New Roman"/>
          <w:b/>
          <w:sz w:val="24"/>
          <w:szCs w:val="24"/>
          <w:lang w:val="kk-KZ"/>
        </w:rPr>
        <w:t xml:space="preserve"> </w:t>
      </w:r>
      <w:r w:rsidR="003B03D5" w:rsidRPr="003B03D5">
        <w:rPr>
          <w:rFonts w:ascii="Verdana" w:eastAsia="Times New Roman" w:hAnsi="Verdana" w:cs="Verdana"/>
          <w:b/>
          <w:sz w:val="24"/>
          <w:szCs w:val="24"/>
          <w:lang w:val="kk-KZ"/>
        </w:rPr>
        <w:t>Р</w:t>
      </w:r>
      <w:r w:rsidR="003B03D5" w:rsidRPr="003B03D5">
        <w:rPr>
          <w:rFonts w:ascii="Verdana" w:eastAsia="Times New Roman" w:hAnsi="Verdana" w:cs="Times New Roman"/>
          <w:b/>
          <w:sz w:val="24"/>
          <w:szCs w:val="24"/>
          <w:lang w:val="kk-KZ"/>
        </w:rPr>
        <w:t>ЕЛИЗІ</w:t>
      </w:r>
    </w:p>
    <w:p w:rsidR="003B03D5" w:rsidRPr="003B03D5" w:rsidRDefault="003B03D5" w:rsidP="003B03D5">
      <w:pPr>
        <w:spacing w:after="0" w:line="240" w:lineRule="auto"/>
        <w:jc w:val="center"/>
        <w:rPr>
          <w:rFonts w:ascii="Calibri" w:eastAsia="Times New Roman" w:hAnsi="Calibri" w:cs="Times New Roman"/>
          <w:b/>
          <w:sz w:val="24"/>
          <w:szCs w:val="24"/>
          <w:lang w:val="en-US"/>
        </w:rPr>
      </w:pPr>
    </w:p>
    <w:p w:rsidR="003B03D5" w:rsidRDefault="003B03D5" w:rsidP="003B03D5">
      <w:pPr>
        <w:spacing w:after="0" w:line="240" w:lineRule="auto"/>
        <w:jc w:val="center"/>
        <w:rPr>
          <w:rFonts w:eastAsia="Times New Roman"/>
          <w:b/>
          <w:sz w:val="24"/>
          <w:szCs w:val="24"/>
          <w:lang w:val="kk-KZ"/>
        </w:rPr>
      </w:pPr>
      <w:r w:rsidRPr="00F87EE6">
        <w:rPr>
          <w:rFonts w:eastAsia="Times New Roman"/>
          <w:b/>
          <w:sz w:val="24"/>
          <w:szCs w:val="24"/>
          <w:lang w:val="kk-KZ"/>
        </w:rPr>
        <w:t xml:space="preserve">Алтыннан, күмістен және нейзильбер қоспасынан </w:t>
      </w:r>
    </w:p>
    <w:p w:rsidR="003B03D5" w:rsidRPr="00F87EE6" w:rsidRDefault="003B03D5" w:rsidP="003B03D5">
      <w:pPr>
        <w:spacing w:after="0" w:line="240" w:lineRule="auto"/>
        <w:jc w:val="center"/>
        <w:rPr>
          <w:rFonts w:eastAsia="Times New Roman"/>
          <w:b/>
          <w:sz w:val="24"/>
          <w:szCs w:val="24"/>
          <w:lang w:val="kk-KZ"/>
        </w:rPr>
      </w:pPr>
      <w:r w:rsidRPr="00F87EE6">
        <w:rPr>
          <w:rFonts w:eastAsia="Times New Roman"/>
          <w:b/>
          <w:sz w:val="24"/>
          <w:szCs w:val="24"/>
          <w:lang w:val="kk-KZ"/>
        </w:rPr>
        <w:t>«Абай» ескерткіш монеталарын айналысқа шығару туралы</w:t>
      </w:r>
    </w:p>
    <w:p w:rsidR="003B03D5" w:rsidRPr="003B03D5" w:rsidRDefault="003B03D5" w:rsidP="003B03D5">
      <w:pPr>
        <w:spacing w:after="0" w:line="240" w:lineRule="auto"/>
        <w:jc w:val="center"/>
        <w:rPr>
          <w:rFonts w:ascii="Verdana" w:eastAsia="Calibri" w:hAnsi="Verdana" w:cs="Times New Roman"/>
          <w:b/>
          <w:sz w:val="24"/>
          <w:szCs w:val="24"/>
          <w:lang w:val="kk-KZ"/>
        </w:rPr>
      </w:pPr>
    </w:p>
    <w:p w:rsidR="003B03D5" w:rsidRPr="003B03D5" w:rsidRDefault="003B03D5" w:rsidP="003B03D5">
      <w:pPr>
        <w:spacing w:after="0" w:line="240" w:lineRule="auto"/>
        <w:rPr>
          <w:rFonts w:ascii="Verdana" w:eastAsia="Times New Roman" w:hAnsi="Verdana" w:cs="Calibri"/>
          <w:sz w:val="24"/>
          <w:szCs w:val="24"/>
          <w:lang w:val="kk-KZ"/>
        </w:rPr>
      </w:pPr>
      <w:r w:rsidRPr="003B03D5">
        <w:rPr>
          <w:rFonts w:ascii="Verdana" w:eastAsia="Times New Roman" w:hAnsi="Verdana" w:cs="Calibri"/>
          <w:sz w:val="24"/>
          <w:szCs w:val="24"/>
          <w:lang w:val="kk-KZ"/>
        </w:rPr>
        <w:t>2015 жыл</w:t>
      </w:r>
      <w:r w:rsidRPr="003B03D5">
        <w:rPr>
          <w:rFonts w:ascii="Arial" w:eastAsia="Times New Roman" w:hAnsi="Arial" w:cs="Arial"/>
          <w:sz w:val="24"/>
          <w:szCs w:val="24"/>
          <w:lang w:val="kk-KZ"/>
        </w:rPr>
        <w:t>ғ</w:t>
      </w:r>
      <w:r w:rsidRPr="003B03D5">
        <w:rPr>
          <w:rFonts w:ascii="Verdana" w:eastAsia="Times New Roman" w:hAnsi="Verdana" w:cs="Calibri"/>
          <w:sz w:val="24"/>
          <w:szCs w:val="24"/>
          <w:lang w:val="kk-KZ"/>
        </w:rPr>
        <w:t xml:space="preserve">ы 14 тамыз                                                                             Алматы </w:t>
      </w:r>
      <w:r w:rsidRPr="003B03D5">
        <w:rPr>
          <w:rFonts w:ascii="Arial" w:eastAsia="Times New Roman" w:hAnsi="Arial" w:cs="Arial"/>
          <w:sz w:val="24"/>
          <w:szCs w:val="24"/>
          <w:lang w:val="kk-KZ"/>
        </w:rPr>
        <w:t>қ</w:t>
      </w:r>
      <w:r w:rsidRPr="003B03D5">
        <w:rPr>
          <w:rFonts w:ascii="Verdana" w:eastAsia="Times New Roman" w:hAnsi="Verdana" w:cs="Calibri"/>
          <w:sz w:val="24"/>
          <w:szCs w:val="24"/>
          <w:lang w:val="kk-KZ"/>
        </w:rPr>
        <w:t>.</w:t>
      </w:r>
    </w:p>
    <w:p w:rsidR="003B03D5" w:rsidRPr="003B03D5" w:rsidRDefault="003B03D5" w:rsidP="003B03D5">
      <w:pPr>
        <w:spacing w:after="0" w:line="240" w:lineRule="auto"/>
        <w:rPr>
          <w:rFonts w:ascii="Verdana" w:eastAsia="Times New Roman" w:hAnsi="Verdana" w:cs="Calibri"/>
          <w:sz w:val="24"/>
          <w:szCs w:val="24"/>
          <w:lang w:val="kk-KZ"/>
        </w:rPr>
      </w:pPr>
    </w:p>
    <w:p w:rsidR="003B03D5" w:rsidRPr="003B03D5" w:rsidRDefault="003B03D5" w:rsidP="003B03D5">
      <w:pPr>
        <w:spacing w:after="0" w:line="240" w:lineRule="auto"/>
        <w:ind w:firstLine="709"/>
        <w:jc w:val="both"/>
        <w:rPr>
          <w:rFonts w:ascii="Calibri" w:eastAsia="Times New Roman" w:hAnsi="Calibri" w:cs="Calibri"/>
          <w:sz w:val="24"/>
          <w:szCs w:val="24"/>
          <w:lang w:val="kk-KZ"/>
        </w:rPr>
      </w:pPr>
      <w:r w:rsidRPr="003B03D5">
        <w:rPr>
          <w:rFonts w:ascii="Calibri" w:eastAsia="Times New Roman" w:hAnsi="Calibri" w:cs="Calibri"/>
          <w:sz w:val="24"/>
          <w:szCs w:val="24"/>
          <w:lang w:val="kk-KZ"/>
        </w:rPr>
        <w:t>Қазақстан Республикасының Ұлттық Банкі 2015 жылғы 14 тамыздан бастап «Банкноталардағы портреттер» монеталар сериясынан номиналдық құны 500 теңгелік, «рroоf» сапалы алтыннан жән</w:t>
      </w:r>
      <w:r>
        <w:rPr>
          <w:rFonts w:ascii="Calibri" w:eastAsia="Times New Roman" w:hAnsi="Calibri" w:cs="Calibri"/>
          <w:sz w:val="24"/>
          <w:szCs w:val="24"/>
          <w:lang w:val="kk-KZ"/>
        </w:rPr>
        <w:t xml:space="preserve">е күмістен және номиналдық құны </w:t>
      </w:r>
      <w:r w:rsidRPr="003B03D5">
        <w:rPr>
          <w:rFonts w:ascii="Calibri" w:eastAsia="Times New Roman" w:hAnsi="Calibri" w:cs="Calibri"/>
          <w:sz w:val="24"/>
          <w:szCs w:val="24"/>
          <w:lang w:val="kk-KZ"/>
        </w:rPr>
        <w:t xml:space="preserve">50 теңгелік нейзильбер қоспасынан «Абай» ескерткіш монеталарын айналысқа шығарады. </w:t>
      </w:r>
    </w:p>
    <w:p w:rsidR="003B03D5" w:rsidRPr="003B03D5" w:rsidRDefault="003B03D5" w:rsidP="003B03D5">
      <w:pPr>
        <w:spacing w:after="0" w:line="240" w:lineRule="auto"/>
        <w:ind w:firstLine="709"/>
        <w:jc w:val="both"/>
        <w:rPr>
          <w:rFonts w:ascii="Calibri" w:hAnsi="Calibri" w:cs="Calibri"/>
          <w:sz w:val="24"/>
          <w:szCs w:val="24"/>
          <w:lang w:val="kk-KZ"/>
        </w:rPr>
      </w:pPr>
      <w:r w:rsidRPr="003B03D5">
        <w:rPr>
          <w:rFonts w:ascii="Calibri" w:hAnsi="Calibri" w:cs="Calibri"/>
          <w:sz w:val="24"/>
          <w:szCs w:val="24"/>
          <w:lang w:val="kk-KZ"/>
        </w:rPr>
        <w:t xml:space="preserve">Алтыннан, күмістен және нейзильбер қоспасынан жасалған монеталардың бет және сырт жақтарындағы бейнелер бірдей. «Рroof» сапалы алтын және күміс монеталардағы бейне жылтыр бетке салынған.  </w:t>
      </w:r>
    </w:p>
    <w:p w:rsidR="003B03D5" w:rsidRPr="000217FF" w:rsidRDefault="003B03D5" w:rsidP="003B03D5">
      <w:pPr>
        <w:spacing w:after="0" w:line="240" w:lineRule="auto"/>
        <w:ind w:firstLine="709"/>
        <w:jc w:val="both"/>
        <w:rPr>
          <w:rFonts w:eastAsia="Times New Roman" w:cstheme="minorHAnsi"/>
          <w:sz w:val="24"/>
          <w:szCs w:val="24"/>
          <w:lang w:val="kk-KZ" w:eastAsia="ru-RU"/>
        </w:rPr>
      </w:pPr>
    </w:p>
    <w:p w:rsidR="003B03D5" w:rsidRPr="000217FF" w:rsidRDefault="003B03D5" w:rsidP="003B03D5">
      <w:pPr>
        <w:spacing w:after="0" w:line="240" w:lineRule="auto"/>
        <w:ind w:firstLine="709"/>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sidRPr="003B03D5">
        <w:rPr>
          <w:rFonts w:eastAsia="Times New Roman" w:cstheme="minorHAnsi"/>
          <w:b/>
          <w:noProof/>
          <w:sz w:val="24"/>
          <w:szCs w:val="24"/>
          <w:lang w:eastAsia="ru-RU"/>
        </w:rPr>
        <w:drawing>
          <wp:inline distT="0" distB="0" distL="0" distR="0" wp14:anchorId="73C8486C" wp14:editId="658F58DC">
            <wp:extent cx="1249200" cy="1245600"/>
            <wp:effectExtent l="0" t="0" r="8255" b="0"/>
            <wp:docPr id="27" name="Рисунок 27" descr="C:\Documents and Settings\SO_Saule_K\Мои документы\ТЕКУЧКА\Разное\2015\Монеты Нацбанка\Монеты_август\Абай\Абай золото а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O_Saule_K\Мои документы\ТЕКУЧКА\Разное\2015\Монеты Нацбанка\Монеты_август\Абай\Абай золото аверс.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r w:rsidRPr="000217FF">
        <w:rPr>
          <w:rFonts w:eastAsia="Times New Roman" w:cstheme="minorHAnsi"/>
          <w:b/>
          <w:sz w:val="24"/>
          <w:szCs w:val="24"/>
          <w:lang w:val="kk-KZ" w:eastAsia="ru-RU"/>
        </w:rPr>
        <w:t xml:space="preserve">    </w:t>
      </w:r>
      <w:r w:rsidRPr="003B03D5">
        <w:rPr>
          <w:rFonts w:eastAsia="Times New Roman" w:cstheme="minorHAnsi"/>
          <w:b/>
          <w:noProof/>
          <w:sz w:val="24"/>
          <w:szCs w:val="24"/>
          <w:lang w:eastAsia="ru-RU"/>
        </w:rPr>
        <w:drawing>
          <wp:inline distT="0" distB="0" distL="0" distR="0" wp14:anchorId="4750D30D" wp14:editId="02BD7F7B">
            <wp:extent cx="1249200" cy="1245600"/>
            <wp:effectExtent l="0" t="0" r="8255" b="0"/>
            <wp:docPr id="28" name="Рисунок 28" descr="C:\Documents and Settings\SO_Saule_K\Мои документы\ТЕКУЧКА\Разное\2015\Монеты Нацбанка\Монеты_август\Абай\Абай золото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O_Saule_K\Мои документы\ТЕКУЧКА\Разное\2015\Монеты Нацбанка\Монеты_август\Абай\Абай золото ревер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r w:rsidRPr="000217FF">
        <w:rPr>
          <w:rFonts w:eastAsia="Times New Roman" w:cstheme="minorHAnsi"/>
          <w:b/>
          <w:sz w:val="24"/>
          <w:szCs w:val="24"/>
          <w:lang w:val="kk-KZ" w:eastAsia="ru-RU"/>
        </w:rPr>
        <w:t xml:space="preserve">               </w:t>
      </w:r>
      <w:r w:rsidRPr="003B03D5">
        <w:rPr>
          <w:rFonts w:eastAsia="Times New Roman" w:cstheme="minorHAnsi"/>
          <w:b/>
          <w:noProof/>
          <w:sz w:val="24"/>
          <w:szCs w:val="24"/>
          <w:lang w:eastAsia="ru-RU"/>
        </w:rPr>
        <w:drawing>
          <wp:inline distT="0" distB="0" distL="0" distR="0" wp14:anchorId="3AD0386C" wp14:editId="61115D8D">
            <wp:extent cx="1249200" cy="1245600"/>
            <wp:effectExtent l="0" t="0" r="8255" b="0"/>
            <wp:docPr id="29" name="Рисунок 29" descr="C:\Documents and Settings\SO_Saule_K\Мои документы\ТЕКУЧКА\Разное\2015\Монеты Нацбанка\Монеты_август\Абай\Абай серебро а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O_Saule_K\Мои документы\ТЕКУЧКА\Разное\2015\Монеты Нацбанка\Монеты_август\Абай\Абай серебро авер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r w:rsidRPr="000217FF">
        <w:rPr>
          <w:rFonts w:eastAsia="Times New Roman" w:cstheme="minorHAnsi"/>
          <w:b/>
          <w:sz w:val="24"/>
          <w:szCs w:val="24"/>
          <w:lang w:val="kk-KZ" w:eastAsia="ru-RU"/>
        </w:rPr>
        <w:t xml:space="preserve">     </w:t>
      </w:r>
      <w:r w:rsidRPr="003B03D5">
        <w:rPr>
          <w:rFonts w:eastAsia="Times New Roman" w:cstheme="minorHAnsi"/>
          <w:b/>
          <w:noProof/>
          <w:sz w:val="24"/>
          <w:szCs w:val="24"/>
          <w:lang w:eastAsia="ru-RU"/>
        </w:rPr>
        <w:drawing>
          <wp:inline distT="0" distB="0" distL="0" distR="0" wp14:anchorId="723EE4A7" wp14:editId="71D6D33A">
            <wp:extent cx="1249200" cy="1245600"/>
            <wp:effectExtent l="0" t="0" r="8255" b="0"/>
            <wp:docPr id="30" name="Рисунок 30" descr="C:\Documents and Settings\SO_Saule_K\Мои документы\ТЕКУЧКА\Разное\2015\Монеты Нацбанка\Монеты_август\Абай\Абай серебра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O_Saule_K\Мои документы\ТЕКУЧКА\Разное\2015\Монеты Нацбанка\Монеты_август\Абай\Абай серебра ревер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r w:rsidRPr="003B03D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B03D5" w:rsidRPr="000217FF" w:rsidRDefault="003B03D5" w:rsidP="003B03D5">
      <w:pPr>
        <w:spacing w:after="0" w:line="240" w:lineRule="auto"/>
        <w:ind w:firstLine="709"/>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B03D5" w:rsidRPr="000217FF" w:rsidRDefault="003B03D5" w:rsidP="003B03D5">
      <w:pPr>
        <w:spacing w:after="0" w:line="240" w:lineRule="auto"/>
        <w:ind w:firstLine="709"/>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B03D5" w:rsidRPr="000217FF" w:rsidRDefault="003B03D5" w:rsidP="003B03D5">
      <w:pPr>
        <w:spacing w:after="0" w:line="240" w:lineRule="auto"/>
        <w:ind w:firstLine="709"/>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sidRPr="000217F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 xml:space="preserve"> </w:t>
      </w:r>
    </w:p>
    <w:p w:rsidR="003B03D5" w:rsidRPr="000217FF" w:rsidRDefault="003B03D5" w:rsidP="003B03D5">
      <w:pPr>
        <w:spacing w:after="0" w:line="240" w:lineRule="auto"/>
        <w:ind w:firstLine="709"/>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3B03D5" w:rsidRPr="000217FF" w:rsidRDefault="003B03D5" w:rsidP="003B03D5">
      <w:pPr>
        <w:spacing w:after="0" w:line="240" w:lineRule="auto"/>
        <w:ind w:firstLine="709"/>
        <w:jc w:val="both"/>
        <w:rPr>
          <w:rFonts w:eastAsia="Times New Roman" w:cstheme="minorHAnsi"/>
          <w:b/>
          <w:sz w:val="24"/>
          <w:szCs w:val="24"/>
          <w:lang w:val="kk-KZ" w:eastAsia="ru-RU"/>
        </w:rPr>
      </w:pPr>
    </w:p>
    <w:p w:rsidR="003B03D5" w:rsidRPr="000217FF" w:rsidRDefault="003B03D5" w:rsidP="003B03D5">
      <w:pPr>
        <w:spacing w:after="0" w:line="240" w:lineRule="auto"/>
        <w:ind w:firstLine="709"/>
        <w:jc w:val="both"/>
        <w:rPr>
          <w:rFonts w:eastAsia="Times New Roman" w:cstheme="minorHAnsi"/>
          <w:snapToGrid w:val="0"/>
          <w:sz w:val="24"/>
          <w:szCs w:val="24"/>
          <w:lang w:val="kk-KZ" w:eastAsia="ru-RU"/>
        </w:rPr>
      </w:pPr>
    </w:p>
    <w:p w:rsidR="003B03D5" w:rsidRPr="000217FF" w:rsidRDefault="003B03D5" w:rsidP="003B03D5">
      <w:pPr>
        <w:spacing w:after="0" w:line="240" w:lineRule="auto"/>
        <w:ind w:firstLine="709"/>
        <w:jc w:val="both"/>
        <w:rPr>
          <w:rFonts w:eastAsia="Times New Roman" w:cstheme="minorHAnsi"/>
          <w:snapToGrid w:val="0"/>
          <w:sz w:val="24"/>
          <w:szCs w:val="24"/>
          <w:lang w:val="kk-KZ" w:eastAsia="ru-RU"/>
        </w:rPr>
      </w:pPr>
      <w:r w:rsidRPr="000217FF">
        <w:rPr>
          <w:rFonts w:eastAsia="Times New Roman" w:cstheme="minorHAnsi"/>
          <w:snapToGrid w:val="0"/>
          <w:sz w:val="24"/>
          <w:szCs w:val="24"/>
          <w:lang w:val="kk-KZ" w:eastAsia="ru-RU"/>
        </w:rPr>
        <w:t xml:space="preserve">                                           </w:t>
      </w:r>
      <w:r w:rsidRPr="003B03D5">
        <w:rPr>
          <w:rFonts w:eastAsia="Times New Roman" w:cstheme="minorHAnsi"/>
          <w:noProof/>
          <w:sz w:val="24"/>
          <w:szCs w:val="24"/>
          <w:lang w:eastAsia="ru-RU"/>
        </w:rPr>
        <w:drawing>
          <wp:inline distT="0" distB="0" distL="0" distR="0" wp14:anchorId="7AB2D8E4" wp14:editId="3A379B77">
            <wp:extent cx="1249200" cy="1245600"/>
            <wp:effectExtent l="0" t="0" r="8255" b="0"/>
            <wp:docPr id="31" name="Рисунок 31" descr="C:\Documents and Settings\SO_Saule_K\Мои документы\ТЕКУЧКА\Разное\2015\Монеты Нацбанка\Монеты_август\Абай\Абай нейзильбер а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O_Saule_K\Мои документы\ТЕКУЧКА\Разное\2015\Монеты Нацбанка\Монеты_август\Абай\Абай нейзильбер аверс.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r w:rsidRPr="000217FF">
        <w:rPr>
          <w:rFonts w:eastAsia="Times New Roman" w:cstheme="minorHAnsi"/>
          <w:snapToGrid w:val="0"/>
          <w:sz w:val="24"/>
          <w:szCs w:val="24"/>
          <w:lang w:val="kk-KZ" w:eastAsia="ru-RU"/>
        </w:rPr>
        <w:t xml:space="preserve">         </w:t>
      </w:r>
      <w:r w:rsidRPr="003B03D5">
        <w:rPr>
          <w:rFonts w:eastAsia="Times New Roman" w:cstheme="minorHAnsi"/>
          <w:noProof/>
          <w:sz w:val="24"/>
          <w:szCs w:val="24"/>
          <w:lang w:eastAsia="ru-RU"/>
        </w:rPr>
        <w:drawing>
          <wp:inline distT="0" distB="0" distL="0" distR="0" wp14:anchorId="0253E8CB" wp14:editId="68166EF0">
            <wp:extent cx="1249200" cy="1245600"/>
            <wp:effectExtent l="0" t="0" r="8255" b="0"/>
            <wp:docPr id="32" name="Рисунок 32" descr="C:\Documents and Settings\SO_Saule_K\Мои документы\ТЕКУЧКА\Разное\2015\Монеты Нацбанка\Монеты_август\Абай\Абай нейзильбер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O_Saule_K\Мои документы\ТЕКУЧКА\Разное\2015\Монеты Нацбанка\Монеты_август\Абай\Абай нейзильбер реверс.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p>
    <w:p w:rsidR="003B03D5" w:rsidRPr="000217FF" w:rsidRDefault="003B03D5" w:rsidP="003B03D5">
      <w:pPr>
        <w:spacing w:after="0" w:line="240" w:lineRule="auto"/>
        <w:ind w:firstLine="709"/>
        <w:jc w:val="both"/>
        <w:rPr>
          <w:rFonts w:eastAsia="Times New Roman" w:cstheme="minorHAnsi"/>
          <w:snapToGrid w:val="0"/>
          <w:sz w:val="24"/>
          <w:szCs w:val="24"/>
          <w:lang w:val="kk-KZ" w:eastAsia="ru-RU"/>
        </w:rPr>
      </w:pPr>
    </w:p>
    <w:p w:rsidR="003B03D5" w:rsidRPr="003B03D5" w:rsidRDefault="003B03D5" w:rsidP="003B03D5">
      <w:pPr>
        <w:pStyle w:val="2"/>
        <w:spacing w:after="0" w:line="240" w:lineRule="auto"/>
        <w:ind w:left="0" w:firstLine="709"/>
        <w:jc w:val="both"/>
        <w:rPr>
          <w:rFonts w:ascii="Calibri" w:hAnsi="Calibri" w:cstheme="minorHAnsi"/>
          <w:lang w:val="kk-KZ"/>
        </w:rPr>
      </w:pPr>
      <w:r w:rsidRPr="003B03D5">
        <w:rPr>
          <w:rFonts w:ascii="Calibri" w:hAnsi="Calibri" w:cstheme="minorHAnsi"/>
          <w:lang w:val="kk-KZ"/>
        </w:rPr>
        <w:t>Монеталардың бет жағында (аверсінде) орталық бөлігінде Қазақстан Республикасының елтаңбасы бейнеленген. Төменгі бөлігінде монетаның номиналын   білдіретін сан, алтын және күміс монетада «500», нейзильбер қоспасынан жасалған монетада «50» және «ТЕҢГЕ» деген жазу бар. Сол және оң жақ бөлігінде ұлттық ою-өрнек элементі бір деңгейде бейнеленген, айналдыра мемлекеттік тілде «ҚАЗАҚСТАН РЕСПУБЛИКАСЫ» және орыс тілінде «РЕСПУБЛИКА КАЗАХСТАН» деген жазу бар. Жоғарғы бөлікте Қазақстан Республикасы Ұлттық Банкінің логотипі орналасқан. Айналдыра шығыңқы жиек.</w:t>
      </w:r>
    </w:p>
    <w:p w:rsidR="003B03D5" w:rsidRPr="003B03D5" w:rsidRDefault="003B03D5" w:rsidP="003B03D5">
      <w:pPr>
        <w:pStyle w:val="2"/>
        <w:spacing w:after="0" w:line="240" w:lineRule="auto"/>
        <w:ind w:left="0" w:firstLine="709"/>
        <w:jc w:val="both"/>
        <w:rPr>
          <w:rFonts w:ascii="Calibri" w:hAnsi="Calibri" w:cstheme="minorHAnsi"/>
          <w:lang w:val="kk-KZ"/>
        </w:rPr>
      </w:pPr>
      <w:r w:rsidRPr="003B03D5">
        <w:rPr>
          <w:rFonts w:ascii="Calibri" w:hAnsi="Calibri" w:cstheme="minorHAnsi"/>
          <w:lang w:val="kk-KZ"/>
        </w:rPr>
        <w:t>Монеталардың сырт жағында (реверсінде) орталық бөлігінде қазақтың ағартушысы Абайдың портреті орналасқан 20 т</w:t>
      </w:r>
      <w:r>
        <w:rPr>
          <w:rFonts w:ascii="Calibri" w:hAnsi="Calibri" w:cstheme="minorHAnsi"/>
          <w:lang w:val="kk-KZ"/>
        </w:rPr>
        <w:t xml:space="preserve">еңгелік банкноттың бет жағының </w:t>
      </w:r>
      <w:r w:rsidRPr="003B03D5">
        <w:rPr>
          <w:rFonts w:ascii="Calibri" w:hAnsi="Calibri" w:cstheme="minorHAnsi"/>
          <w:lang w:val="kk-KZ"/>
        </w:rPr>
        <w:t xml:space="preserve">бір бөлігі бейнеленген. Айналдыра мемлекеттік тілде «АБАЙ» деген жазу, соғылған жылын білдіретін «2015» деген сан және банкноттан алынған графикалық элементтер бар. Жоғарғы бөлігінде монета дайындалған металды, оның сынамын және массасын білдіретін жазу, алтын монетада «Au 999  7,78 g», күміс монетада «Ag 925 </w:t>
      </w:r>
      <w:smartTag w:uri="urn:schemas-microsoft-com:office:smarttags" w:element="metricconverter">
        <w:smartTagPr>
          <w:attr w:name="ProductID" w:val="31,1 g"/>
        </w:smartTagPr>
        <w:r w:rsidRPr="003B03D5">
          <w:rPr>
            <w:rFonts w:ascii="Calibri" w:hAnsi="Calibri" w:cstheme="minorHAnsi"/>
            <w:lang w:val="kk-KZ"/>
          </w:rPr>
          <w:t>31,1 g</w:t>
        </w:r>
      </w:smartTag>
      <w:r w:rsidRPr="003B03D5">
        <w:rPr>
          <w:rFonts w:ascii="Calibri" w:hAnsi="Calibri" w:cstheme="minorHAnsi"/>
          <w:lang w:val="kk-KZ"/>
        </w:rPr>
        <w:t>» бар. Айналдыра шығыңқы жиек.</w:t>
      </w:r>
    </w:p>
    <w:p w:rsidR="003B03D5" w:rsidRPr="003B03D5" w:rsidRDefault="003B03D5" w:rsidP="003B03D5">
      <w:pPr>
        <w:pStyle w:val="a5"/>
        <w:spacing w:after="0" w:line="240" w:lineRule="auto"/>
        <w:ind w:left="0" w:firstLine="709"/>
        <w:jc w:val="both"/>
        <w:rPr>
          <w:rFonts w:cstheme="minorHAnsi"/>
          <w:sz w:val="24"/>
          <w:szCs w:val="24"/>
          <w:lang w:val="kk-KZ"/>
        </w:rPr>
      </w:pPr>
      <w:r w:rsidRPr="003B03D5">
        <w:rPr>
          <w:rFonts w:cstheme="minorHAnsi"/>
          <w:sz w:val="24"/>
          <w:szCs w:val="24"/>
          <w:lang w:val="kk-KZ"/>
        </w:rPr>
        <w:lastRenderedPageBreak/>
        <w:t>Монеталардың бет және сырт жағындағы бейнелер мен жазбалар бедерленген. Қыры (гурты) бедерлі.</w:t>
      </w:r>
    </w:p>
    <w:p w:rsidR="003B03D5" w:rsidRPr="003B03D5" w:rsidRDefault="003B03D5" w:rsidP="003B03D5">
      <w:pPr>
        <w:pStyle w:val="a5"/>
        <w:spacing w:after="0" w:line="240" w:lineRule="auto"/>
        <w:ind w:left="0" w:firstLine="709"/>
        <w:jc w:val="both"/>
        <w:rPr>
          <w:rFonts w:cstheme="minorHAnsi"/>
          <w:sz w:val="24"/>
          <w:szCs w:val="24"/>
          <w:lang w:val="kk-KZ"/>
        </w:rPr>
      </w:pPr>
      <w:r w:rsidRPr="003B03D5">
        <w:rPr>
          <w:rFonts w:cstheme="minorHAnsi"/>
          <w:sz w:val="24"/>
          <w:szCs w:val="24"/>
          <w:lang w:val="kk-KZ"/>
        </w:rPr>
        <w:t>Монеталар:</w:t>
      </w:r>
    </w:p>
    <w:p w:rsidR="003B03D5" w:rsidRPr="003B03D5" w:rsidRDefault="003B03D5" w:rsidP="003B03D5">
      <w:pPr>
        <w:pStyle w:val="a5"/>
        <w:spacing w:after="0" w:line="240" w:lineRule="auto"/>
        <w:ind w:left="0" w:firstLine="709"/>
        <w:jc w:val="both"/>
        <w:rPr>
          <w:rFonts w:cstheme="minorHAnsi"/>
          <w:sz w:val="24"/>
          <w:szCs w:val="24"/>
          <w:lang w:val="kk-KZ"/>
        </w:rPr>
      </w:pPr>
      <w:r w:rsidRPr="003B03D5">
        <w:rPr>
          <w:rFonts w:cstheme="minorHAnsi"/>
          <w:sz w:val="24"/>
          <w:szCs w:val="24"/>
          <w:lang w:val="kk-KZ"/>
        </w:rPr>
        <w:t xml:space="preserve">1) 999 сынамды алтыннан жасалған, массасы – </w:t>
      </w:r>
      <w:smartTag w:uri="urn:schemas-microsoft-com:office:smarttags" w:element="metricconverter">
        <w:smartTagPr>
          <w:attr w:name="ProductID" w:val="7,78 грамм"/>
        </w:smartTagPr>
        <w:r w:rsidRPr="003B03D5">
          <w:rPr>
            <w:rFonts w:cstheme="minorHAnsi"/>
            <w:sz w:val="24"/>
            <w:szCs w:val="24"/>
            <w:lang w:val="kk-KZ"/>
          </w:rPr>
          <w:t>7,78 грамм</w:t>
        </w:r>
      </w:smartTag>
      <w:r w:rsidRPr="003B03D5">
        <w:rPr>
          <w:rFonts w:cstheme="minorHAnsi"/>
          <w:sz w:val="24"/>
          <w:szCs w:val="24"/>
          <w:lang w:val="kk-KZ"/>
        </w:rPr>
        <w:t xml:space="preserve">, диаметрі – </w:t>
      </w:r>
      <w:smartTag w:uri="urn:schemas-microsoft-com:office:smarttags" w:element="metricconverter">
        <w:smartTagPr>
          <w:attr w:name="ProductID" w:val="21,87 мм"/>
        </w:smartTagPr>
        <w:r w:rsidRPr="003B03D5">
          <w:rPr>
            <w:rFonts w:cstheme="minorHAnsi"/>
            <w:sz w:val="24"/>
            <w:szCs w:val="24"/>
            <w:lang w:val="kk-KZ"/>
          </w:rPr>
          <w:t>21,87 мм</w:t>
        </w:r>
      </w:smartTag>
      <w:r w:rsidRPr="003B03D5">
        <w:rPr>
          <w:rFonts w:cstheme="minorHAnsi"/>
          <w:sz w:val="24"/>
          <w:szCs w:val="24"/>
          <w:lang w:val="kk-KZ"/>
        </w:rPr>
        <w:t>, дайындау сапасы – «proof», таралымы – 1 мың дана;</w:t>
      </w:r>
    </w:p>
    <w:p w:rsidR="003B03D5" w:rsidRPr="003B03D5" w:rsidRDefault="003B03D5" w:rsidP="003B03D5">
      <w:pPr>
        <w:pStyle w:val="a5"/>
        <w:spacing w:after="0" w:line="240" w:lineRule="auto"/>
        <w:ind w:left="0" w:firstLine="709"/>
        <w:jc w:val="both"/>
        <w:rPr>
          <w:rFonts w:cstheme="minorHAnsi"/>
          <w:sz w:val="24"/>
          <w:szCs w:val="24"/>
          <w:lang w:val="kk-KZ"/>
        </w:rPr>
      </w:pPr>
      <w:r w:rsidRPr="003B03D5">
        <w:rPr>
          <w:rFonts w:cstheme="minorHAnsi"/>
          <w:sz w:val="24"/>
          <w:szCs w:val="24"/>
          <w:lang w:val="kk-KZ"/>
        </w:rPr>
        <w:t xml:space="preserve">2) 925 сынамды күмістен жасалған, массасы – </w:t>
      </w:r>
      <w:smartTag w:uri="urn:schemas-microsoft-com:office:smarttags" w:element="metricconverter">
        <w:smartTagPr>
          <w:attr w:name="ProductID" w:val="31,1 грамм"/>
        </w:smartTagPr>
        <w:r w:rsidRPr="003B03D5">
          <w:rPr>
            <w:rFonts w:cstheme="minorHAnsi"/>
            <w:sz w:val="24"/>
            <w:szCs w:val="24"/>
            <w:lang w:val="kk-KZ"/>
          </w:rPr>
          <w:t>31,1 грамм</w:t>
        </w:r>
      </w:smartTag>
      <w:r w:rsidRPr="003B03D5">
        <w:rPr>
          <w:rFonts w:cstheme="minorHAnsi"/>
          <w:sz w:val="24"/>
          <w:szCs w:val="24"/>
          <w:lang w:val="kk-KZ"/>
        </w:rPr>
        <w:t xml:space="preserve">, диаметрі – </w:t>
      </w:r>
      <w:smartTag w:uri="urn:schemas-microsoft-com:office:smarttags" w:element="metricconverter">
        <w:smartTagPr>
          <w:attr w:name="ProductID" w:val="38,61 мм"/>
        </w:smartTagPr>
        <w:r w:rsidRPr="003B03D5">
          <w:rPr>
            <w:rFonts w:cstheme="minorHAnsi"/>
            <w:sz w:val="24"/>
            <w:szCs w:val="24"/>
            <w:lang w:val="kk-KZ"/>
          </w:rPr>
          <w:t>38,61 мм</w:t>
        </w:r>
      </w:smartTag>
      <w:r w:rsidRPr="003B03D5">
        <w:rPr>
          <w:rFonts w:cstheme="minorHAnsi"/>
          <w:sz w:val="24"/>
          <w:szCs w:val="24"/>
          <w:lang w:val="kk-KZ"/>
        </w:rPr>
        <w:t>, дайындау сапасы – «proof», таралымы – 3 мың дана;</w:t>
      </w:r>
    </w:p>
    <w:p w:rsidR="003B03D5" w:rsidRPr="003B03D5" w:rsidRDefault="003B03D5" w:rsidP="003B03D5">
      <w:pPr>
        <w:pStyle w:val="a5"/>
        <w:spacing w:after="0" w:line="240" w:lineRule="auto"/>
        <w:ind w:left="0" w:firstLine="709"/>
        <w:jc w:val="both"/>
        <w:rPr>
          <w:rFonts w:cstheme="minorHAnsi"/>
          <w:sz w:val="24"/>
          <w:szCs w:val="24"/>
          <w:lang w:val="kk-KZ"/>
        </w:rPr>
      </w:pPr>
      <w:r w:rsidRPr="003B03D5">
        <w:rPr>
          <w:rFonts w:cstheme="minorHAnsi"/>
          <w:sz w:val="24"/>
          <w:szCs w:val="24"/>
          <w:lang w:val="kk-KZ"/>
        </w:rPr>
        <w:t xml:space="preserve">3) нейзильбер қоспасынан жасалған, диаметрі – </w:t>
      </w:r>
      <w:smartTag w:uri="urn:schemas-microsoft-com:office:smarttags" w:element="metricconverter">
        <w:smartTagPr>
          <w:attr w:name="ProductID" w:val="31 мм"/>
        </w:smartTagPr>
        <w:r w:rsidRPr="003B03D5">
          <w:rPr>
            <w:rFonts w:cstheme="minorHAnsi"/>
            <w:sz w:val="24"/>
            <w:szCs w:val="24"/>
            <w:lang w:val="kk-KZ"/>
          </w:rPr>
          <w:t>31 мм</w:t>
        </w:r>
      </w:smartTag>
      <w:r w:rsidRPr="003B03D5">
        <w:rPr>
          <w:rFonts w:cstheme="minorHAnsi"/>
          <w:sz w:val="24"/>
          <w:szCs w:val="24"/>
          <w:lang w:val="kk-KZ"/>
        </w:rPr>
        <w:t xml:space="preserve">, массасы – </w:t>
      </w:r>
      <w:smartTag w:uri="urn:schemas-microsoft-com:office:smarttags" w:element="metricconverter">
        <w:smartTagPr>
          <w:attr w:name="ProductID" w:val="11,17 грамм"/>
        </w:smartTagPr>
        <w:r w:rsidRPr="003B03D5">
          <w:rPr>
            <w:rFonts w:cstheme="minorHAnsi"/>
            <w:sz w:val="24"/>
            <w:szCs w:val="24"/>
            <w:lang w:val="kk-KZ"/>
          </w:rPr>
          <w:t>11,17 грамм</w:t>
        </w:r>
      </w:smartTag>
      <w:r w:rsidRPr="003B03D5">
        <w:rPr>
          <w:rFonts w:cstheme="minorHAnsi"/>
          <w:sz w:val="24"/>
          <w:szCs w:val="24"/>
          <w:lang w:val="kk-KZ"/>
        </w:rPr>
        <w:t>, таралымы – 100 мың дана.</w:t>
      </w:r>
    </w:p>
    <w:p w:rsidR="003B03D5" w:rsidRPr="003B03D5" w:rsidRDefault="003B03D5" w:rsidP="003B03D5">
      <w:pPr>
        <w:pStyle w:val="1"/>
        <w:ind w:firstLine="709"/>
        <w:rPr>
          <w:rFonts w:ascii="Calibri" w:hAnsi="Calibri" w:cstheme="minorHAnsi"/>
          <w:sz w:val="24"/>
          <w:lang w:val="kk-KZ"/>
        </w:rPr>
      </w:pPr>
      <w:r w:rsidRPr="003B03D5">
        <w:rPr>
          <w:rFonts w:ascii="Calibri" w:hAnsi="Calibri" w:cstheme="minorHAnsi"/>
          <w:sz w:val="24"/>
          <w:lang w:val="kk-KZ"/>
        </w:rPr>
        <w:t xml:space="preserve">Қазақтың ағартушысы әрі ойшылы Абайдың портреті 1993 жылғы үлгідегі 20 теңгелік банкноттың бет жағында бейнеленгенін атап өтеміз. Қазіргі уақытта банкнот айналыстан алынған. </w:t>
      </w:r>
    </w:p>
    <w:p w:rsidR="003B03D5" w:rsidRPr="003B03D5" w:rsidRDefault="003B03D5" w:rsidP="003B03D5">
      <w:pPr>
        <w:spacing w:after="0" w:line="240" w:lineRule="auto"/>
        <w:ind w:firstLine="709"/>
        <w:jc w:val="both"/>
        <w:rPr>
          <w:rFonts w:ascii="Calibri" w:eastAsia="Times New Roman" w:hAnsi="Calibri" w:cstheme="minorHAnsi"/>
          <w:sz w:val="24"/>
          <w:szCs w:val="24"/>
          <w:lang w:val="kk-KZ"/>
        </w:rPr>
      </w:pPr>
      <w:r w:rsidRPr="003B03D5">
        <w:rPr>
          <w:rFonts w:ascii="Calibri" w:eastAsia="Times New Roman" w:hAnsi="Calibri" w:cstheme="minorHAnsi"/>
          <w:sz w:val="24"/>
          <w:szCs w:val="24"/>
          <w:lang w:val="kk-KZ"/>
        </w:rPr>
        <w:t>Ескерткіш монеталарды «Қазақстан Республикасы Ұлттық Банкінің Қазақстан теңге сарайы» шаруашылық жүргізу құқығындағы республикалық мемлекеттік кәсіпорны дайындаған.</w:t>
      </w:r>
    </w:p>
    <w:p w:rsidR="003B03D5" w:rsidRPr="003B03D5" w:rsidRDefault="003B03D5" w:rsidP="003B03D5">
      <w:pPr>
        <w:spacing w:after="0" w:line="240" w:lineRule="auto"/>
        <w:ind w:firstLine="709"/>
        <w:jc w:val="both"/>
        <w:rPr>
          <w:rFonts w:ascii="Calibri" w:eastAsia="Times New Roman" w:hAnsi="Calibri" w:cstheme="minorHAnsi"/>
          <w:sz w:val="24"/>
          <w:szCs w:val="24"/>
          <w:lang w:val="kk-KZ"/>
        </w:rPr>
      </w:pPr>
      <w:r w:rsidRPr="003B03D5">
        <w:rPr>
          <w:rFonts w:ascii="Calibri" w:eastAsia="Times New Roman" w:hAnsi="Calibri" w:cstheme="minorHAnsi"/>
          <w:sz w:val="24"/>
          <w:szCs w:val="24"/>
          <w:lang w:val="kk-KZ"/>
        </w:rPr>
        <w:t>Монеталардың дизайны Қазақстан Республикасы Президентінің 2003 жылғы  25 қыркүйектегі № 1193 Жарлығымен бекітілген Қазақстан теңгесі – ұлттық валюта банкноттары мен монеталары дизайнының тұжырымдамасына сәйкес әзірленген.</w:t>
      </w:r>
    </w:p>
    <w:p w:rsidR="003B03D5" w:rsidRPr="003B03D5" w:rsidRDefault="003B03D5" w:rsidP="003B03D5">
      <w:pPr>
        <w:spacing w:after="0" w:line="240" w:lineRule="auto"/>
        <w:ind w:firstLine="709"/>
        <w:jc w:val="both"/>
        <w:rPr>
          <w:rFonts w:ascii="Calibri" w:eastAsia="Times New Roman" w:hAnsi="Calibri" w:cstheme="minorHAnsi"/>
          <w:sz w:val="24"/>
          <w:szCs w:val="24"/>
          <w:lang w:val="kk-KZ"/>
        </w:rPr>
      </w:pPr>
      <w:r w:rsidRPr="003B03D5">
        <w:rPr>
          <w:rFonts w:ascii="Calibri" w:eastAsia="Times New Roman" w:hAnsi="Calibri" w:cstheme="minorHAnsi"/>
          <w:sz w:val="24"/>
          <w:szCs w:val="24"/>
          <w:lang w:val="kk-KZ"/>
        </w:rPr>
        <w:t>Е</w:t>
      </w:r>
      <w:r w:rsidRPr="003B03D5">
        <w:rPr>
          <w:rFonts w:ascii="Calibri" w:eastAsia="Times New Roman" w:hAnsi="Calibri" w:cstheme="minorHAnsi"/>
          <w:color w:val="000000"/>
          <w:sz w:val="24"/>
          <w:szCs w:val="24"/>
          <w:lang w:val="kk-KZ"/>
        </w:rPr>
        <w:t xml:space="preserve">скерткіш монеталар </w:t>
      </w:r>
      <w:r w:rsidRPr="003B03D5">
        <w:rPr>
          <w:rFonts w:ascii="Calibri" w:eastAsia="Times New Roman" w:hAnsi="Calibri" w:cstheme="minorHAnsi"/>
          <w:sz w:val="24"/>
          <w:szCs w:val="24"/>
          <w:lang w:val="kk-KZ"/>
        </w:rPr>
        <w:t xml:space="preserve">Қазақстан Республикасының бүкіл аумағында көрсетілген </w:t>
      </w:r>
      <w:r w:rsidRPr="003B03D5">
        <w:rPr>
          <w:rFonts w:ascii="Calibri" w:eastAsia="Times New Roman" w:hAnsi="Calibri" w:cstheme="minorHAnsi"/>
          <w:color w:val="000000"/>
          <w:sz w:val="24"/>
          <w:szCs w:val="24"/>
          <w:lang w:val="kk-KZ"/>
        </w:rPr>
        <w:t>құны</w:t>
      </w:r>
      <w:r w:rsidRPr="003B03D5">
        <w:rPr>
          <w:rFonts w:ascii="Calibri" w:eastAsia="Times New Roman" w:hAnsi="Calibri" w:cstheme="minorHAnsi"/>
          <w:sz w:val="24"/>
          <w:szCs w:val="24"/>
          <w:lang w:val="kk-KZ"/>
        </w:rPr>
        <w:t>мен төлемнің барлық түрлері бойынша, сондай-ақ шоттарға, салымдарға, аккредитивтерге есептеу үшін және аударым жасау үшін</w:t>
      </w:r>
      <w:r w:rsidRPr="003B03D5">
        <w:rPr>
          <w:rFonts w:ascii="Calibri" w:eastAsia="Times New Roman" w:hAnsi="Calibri" w:cstheme="minorHAnsi"/>
          <w:color w:val="000000"/>
          <w:sz w:val="24"/>
          <w:szCs w:val="24"/>
          <w:lang w:val="kk-KZ"/>
        </w:rPr>
        <w:t xml:space="preserve"> қабылдануға міндетті,</w:t>
      </w:r>
      <w:r w:rsidRPr="003B03D5">
        <w:rPr>
          <w:rFonts w:ascii="Calibri" w:eastAsia="Times New Roman" w:hAnsi="Calibri" w:cstheme="minorHAnsi"/>
          <w:sz w:val="24"/>
          <w:szCs w:val="24"/>
          <w:lang w:val="kk-KZ"/>
        </w:rPr>
        <w:t xml:space="preserve"> Қазақстан Республикасының барлық банктерінде шектеусіз ұсақталады және айырбасталады. </w:t>
      </w:r>
    </w:p>
    <w:p w:rsidR="003B03D5" w:rsidRPr="003B03D5" w:rsidRDefault="003B03D5" w:rsidP="003B03D5">
      <w:pPr>
        <w:spacing w:after="0" w:line="240" w:lineRule="auto"/>
        <w:ind w:firstLine="709"/>
        <w:jc w:val="both"/>
        <w:rPr>
          <w:rFonts w:ascii="Calibri" w:eastAsia="Times New Roman" w:hAnsi="Calibri" w:cstheme="minorHAnsi"/>
          <w:sz w:val="24"/>
          <w:szCs w:val="24"/>
          <w:lang w:val="kk-KZ"/>
        </w:rPr>
      </w:pPr>
      <w:r w:rsidRPr="003B03D5">
        <w:rPr>
          <w:rFonts w:ascii="Calibri" w:eastAsia="Times New Roman" w:hAnsi="Calibri" w:cstheme="minorHAnsi"/>
          <w:sz w:val="24"/>
          <w:szCs w:val="24"/>
          <w:lang w:val="kk-KZ"/>
        </w:rPr>
        <w:t xml:space="preserve"> «Proof» сапасымен жасалған ескерткіш монеталар коллекциялық құны бойынша сатуға арналған. Олар кәдесыйлық ораумен шығарылады және Қазақстан Республикасы Ұлттық Банкінің мемлекеттік, орыс және ағылшын тілдеріндегі нөмірлік сапа сертификатымен жабдықталған.</w:t>
      </w:r>
    </w:p>
    <w:p w:rsidR="003B03D5" w:rsidRPr="003B03D5" w:rsidRDefault="003B03D5" w:rsidP="003B03D5">
      <w:pPr>
        <w:spacing w:after="0" w:line="240" w:lineRule="auto"/>
        <w:ind w:firstLine="709"/>
        <w:jc w:val="both"/>
        <w:rPr>
          <w:rFonts w:ascii="Calibri" w:eastAsia="Times New Roman" w:hAnsi="Calibri" w:cstheme="minorHAnsi"/>
          <w:sz w:val="24"/>
          <w:szCs w:val="24"/>
          <w:lang w:val="kk-KZ"/>
        </w:rPr>
      </w:pPr>
      <w:r w:rsidRPr="003B03D5">
        <w:rPr>
          <w:rFonts w:ascii="Calibri" w:eastAsia="Times New Roman" w:hAnsi="Calibri" w:cstheme="minorHAnsi"/>
          <w:sz w:val="24"/>
          <w:szCs w:val="24"/>
          <w:lang w:val="kk-KZ"/>
        </w:rPr>
        <w:t>Нейзильбер қоспасынан жасалған ескерткіш монеталардың әр түрінің алты мың данасы жақсартылған сапамен дайындалған және сату үшін арнайы пластикалық термовакуумды орауға салынған.</w:t>
      </w:r>
    </w:p>
    <w:p w:rsidR="003B03D5" w:rsidRPr="000217FF" w:rsidRDefault="003B03D5" w:rsidP="003B03D5">
      <w:pPr>
        <w:pStyle w:val="a7"/>
        <w:spacing w:after="0"/>
        <w:ind w:firstLine="709"/>
        <w:jc w:val="both"/>
        <w:rPr>
          <w:rFonts w:ascii="Calibri" w:hAnsi="Calibri" w:cstheme="minorHAnsi"/>
          <w:lang w:val="kk-KZ"/>
        </w:rPr>
      </w:pPr>
      <w:r w:rsidRPr="003B03D5">
        <w:rPr>
          <w:rFonts w:ascii="Calibri" w:hAnsi="Calibri" w:cstheme="minorHAnsi"/>
          <w:lang w:val="kk-KZ"/>
        </w:rPr>
        <w:t xml:space="preserve">Монеталарды Қазақстан Республикасы Ұлттық Банкінің барлық филиалдарында, сондай-ақ ҚРҰБ-ның </w:t>
      </w:r>
      <w:hyperlink r:id="rId12" w:history="1">
        <w:r w:rsidRPr="003B03D5">
          <w:rPr>
            <w:rStyle w:val="a9"/>
            <w:rFonts w:ascii="Calibri" w:hAnsi="Calibri" w:cstheme="minorHAnsi"/>
            <w:color w:val="auto"/>
            <w:u w:val="none"/>
            <w:lang w:val="kk-KZ"/>
          </w:rPr>
          <w:t>www.nationalbank.kz</w:t>
        </w:r>
      </w:hyperlink>
      <w:r w:rsidRPr="003B03D5">
        <w:rPr>
          <w:rFonts w:ascii="Calibri" w:hAnsi="Calibri" w:cstheme="minorHAnsi"/>
          <w:lang w:val="kk-KZ"/>
        </w:rPr>
        <w:t xml:space="preserve"> </w:t>
      </w:r>
      <w:r w:rsidRPr="003B03D5">
        <w:rPr>
          <w:rFonts w:ascii="Calibri" w:hAnsi="Calibri" w:cstheme="minorHAnsi"/>
          <w:color w:val="000000"/>
          <w:lang w:val="kk-KZ"/>
        </w:rPr>
        <w:t>сайтының «Ұлттық валюта» парақшасындағы Интернет – дүкен арқылы сатып алуға болады.</w:t>
      </w:r>
      <w:r w:rsidRPr="003B03D5">
        <w:rPr>
          <w:rFonts w:ascii="Calibri" w:hAnsi="Calibri" w:cstheme="minorHAnsi"/>
          <w:lang w:val="kk-KZ"/>
        </w:rPr>
        <w:t xml:space="preserve"> Алматы қаласында мына мекенжай бойынша  сатып алуға болады: Панфилов көшесі, 98. Анықтама үшін телефоны </w:t>
      </w:r>
      <w:r w:rsidRPr="003B03D5">
        <w:rPr>
          <w:rFonts w:ascii="Calibri" w:hAnsi="Calibri" w:cstheme="minorHAnsi"/>
          <w:snapToGrid w:val="0"/>
          <w:lang w:val="kk-KZ"/>
        </w:rPr>
        <w:t>+7</w:t>
      </w:r>
      <w:r w:rsidRPr="003B03D5">
        <w:rPr>
          <w:rFonts w:ascii="Calibri" w:hAnsi="Calibri" w:cstheme="minorHAnsi"/>
          <w:lang w:val="kk-KZ"/>
        </w:rPr>
        <w:t xml:space="preserve"> (727) 273-83-98.</w:t>
      </w:r>
    </w:p>
    <w:p w:rsidR="003B03D5" w:rsidRPr="003B03D5" w:rsidRDefault="003B03D5" w:rsidP="003B03D5">
      <w:pPr>
        <w:spacing w:after="0" w:line="240" w:lineRule="auto"/>
        <w:ind w:firstLine="709"/>
        <w:jc w:val="both"/>
        <w:rPr>
          <w:rFonts w:ascii="Calibri" w:eastAsia="Times New Roman" w:hAnsi="Calibri" w:cstheme="minorHAnsi"/>
          <w:sz w:val="24"/>
          <w:szCs w:val="24"/>
          <w:lang w:val="kk-KZ"/>
        </w:rPr>
      </w:pPr>
    </w:p>
    <w:p w:rsidR="003B03D5" w:rsidRPr="003B03D5" w:rsidRDefault="003B03D5" w:rsidP="003B03D5">
      <w:pPr>
        <w:autoSpaceDE w:val="0"/>
        <w:autoSpaceDN w:val="0"/>
        <w:adjustRightInd w:val="0"/>
        <w:spacing w:after="0" w:line="240" w:lineRule="auto"/>
        <w:ind w:firstLine="709"/>
        <w:jc w:val="both"/>
        <w:rPr>
          <w:rFonts w:eastAsia="Times New Roman" w:cstheme="minorHAnsi"/>
          <w:bCs/>
          <w:snapToGrid w:val="0"/>
          <w:sz w:val="24"/>
          <w:szCs w:val="24"/>
          <w:lang w:val="kk-KZ"/>
        </w:rPr>
      </w:pPr>
    </w:p>
    <w:p w:rsidR="003B03D5" w:rsidRPr="003B03D5" w:rsidRDefault="003B03D5" w:rsidP="003B03D5">
      <w:pPr>
        <w:autoSpaceDE w:val="0"/>
        <w:autoSpaceDN w:val="0"/>
        <w:adjustRightInd w:val="0"/>
        <w:spacing w:after="0" w:line="240" w:lineRule="auto"/>
        <w:ind w:firstLine="709"/>
        <w:jc w:val="both"/>
        <w:rPr>
          <w:rFonts w:eastAsia="Times New Roman" w:cstheme="minorHAnsi"/>
          <w:bCs/>
          <w:snapToGrid w:val="0"/>
          <w:sz w:val="24"/>
          <w:szCs w:val="24"/>
          <w:lang w:val="kk-KZ"/>
        </w:rPr>
      </w:pPr>
    </w:p>
    <w:p w:rsidR="003B03D5" w:rsidRDefault="003B03D5" w:rsidP="003B03D5">
      <w:pPr>
        <w:autoSpaceDE w:val="0"/>
        <w:autoSpaceDN w:val="0"/>
        <w:adjustRightInd w:val="0"/>
        <w:spacing w:after="0" w:line="240" w:lineRule="auto"/>
        <w:jc w:val="both"/>
        <w:rPr>
          <w:rFonts w:eastAsia="Times New Roman" w:cstheme="minorHAnsi"/>
          <w:bCs/>
          <w:snapToGrid w:val="0"/>
          <w:sz w:val="24"/>
          <w:szCs w:val="24"/>
          <w:lang w:val="kk-KZ"/>
        </w:rPr>
      </w:pPr>
    </w:p>
    <w:p w:rsidR="003B03D5" w:rsidRDefault="003B03D5" w:rsidP="003B03D5">
      <w:pPr>
        <w:autoSpaceDE w:val="0"/>
        <w:autoSpaceDN w:val="0"/>
        <w:adjustRightInd w:val="0"/>
        <w:spacing w:after="0" w:line="240" w:lineRule="auto"/>
        <w:jc w:val="both"/>
        <w:rPr>
          <w:rFonts w:eastAsia="Times New Roman" w:cstheme="minorHAnsi"/>
          <w:bCs/>
          <w:snapToGrid w:val="0"/>
          <w:sz w:val="24"/>
          <w:szCs w:val="24"/>
          <w:lang w:val="kk-KZ"/>
        </w:rPr>
      </w:pPr>
    </w:p>
    <w:p w:rsidR="003B03D5" w:rsidRPr="003B03D5" w:rsidRDefault="003B03D5" w:rsidP="003B03D5">
      <w:pPr>
        <w:autoSpaceDE w:val="0"/>
        <w:autoSpaceDN w:val="0"/>
        <w:adjustRightInd w:val="0"/>
        <w:spacing w:after="0" w:line="240" w:lineRule="auto"/>
        <w:jc w:val="both"/>
        <w:rPr>
          <w:rFonts w:eastAsia="Times New Roman" w:cstheme="minorHAnsi"/>
          <w:bCs/>
          <w:snapToGrid w:val="0"/>
          <w:sz w:val="24"/>
          <w:szCs w:val="24"/>
          <w:lang w:val="kk-KZ"/>
        </w:rPr>
      </w:pPr>
      <w:bookmarkStart w:id="0" w:name="_GoBack"/>
      <w:bookmarkEnd w:id="0"/>
    </w:p>
    <w:p w:rsidR="003B03D5" w:rsidRPr="003B03D5" w:rsidRDefault="003B03D5" w:rsidP="003B03D5">
      <w:pPr>
        <w:autoSpaceDE w:val="0"/>
        <w:autoSpaceDN w:val="0"/>
        <w:adjustRightInd w:val="0"/>
        <w:spacing w:after="0" w:line="240" w:lineRule="auto"/>
        <w:jc w:val="both"/>
        <w:rPr>
          <w:rFonts w:eastAsia="Times New Roman" w:cstheme="minorHAnsi"/>
          <w:bCs/>
          <w:snapToGrid w:val="0"/>
          <w:sz w:val="24"/>
          <w:szCs w:val="24"/>
          <w:lang w:val="kk-KZ"/>
        </w:rPr>
      </w:pPr>
    </w:p>
    <w:p w:rsidR="003B03D5" w:rsidRDefault="003B03D5" w:rsidP="003B03D5">
      <w:pPr>
        <w:autoSpaceDE w:val="0"/>
        <w:autoSpaceDN w:val="0"/>
        <w:adjustRightInd w:val="0"/>
        <w:spacing w:after="0" w:line="240" w:lineRule="auto"/>
        <w:jc w:val="both"/>
        <w:rPr>
          <w:rFonts w:eastAsia="Times New Roman" w:cstheme="minorHAnsi"/>
          <w:bCs/>
          <w:snapToGrid w:val="0"/>
          <w:sz w:val="24"/>
          <w:szCs w:val="24"/>
          <w:lang w:val="kk-KZ"/>
        </w:rPr>
      </w:pPr>
    </w:p>
    <w:p w:rsidR="003B03D5" w:rsidRPr="003B03D5" w:rsidRDefault="003B03D5" w:rsidP="003B03D5">
      <w:pPr>
        <w:autoSpaceDE w:val="0"/>
        <w:autoSpaceDN w:val="0"/>
        <w:adjustRightInd w:val="0"/>
        <w:spacing w:after="0" w:line="240" w:lineRule="auto"/>
        <w:jc w:val="both"/>
        <w:rPr>
          <w:rFonts w:eastAsia="Times New Roman" w:cstheme="minorHAnsi"/>
          <w:bCs/>
          <w:snapToGrid w:val="0"/>
          <w:sz w:val="24"/>
          <w:szCs w:val="24"/>
          <w:lang w:val="kk-KZ"/>
        </w:rPr>
      </w:pPr>
    </w:p>
    <w:p w:rsidR="003B03D5" w:rsidRPr="003B03D5" w:rsidRDefault="003B03D5" w:rsidP="003B03D5">
      <w:pPr>
        <w:autoSpaceDE w:val="0"/>
        <w:autoSpaceDN w:val="0"/>
        <w:adjustRightInd w:val="0"/>
        <w:spacing w:after="0" w:line="240" w:lineRule="auto"/>
        <w:jc w:val="both"/>
        <w:rPr>
          <w:rFonts w:ascii="Calibri" w:eastAsia="Times New Roman" w:hAnsi="Calibri" w:cs="Calibri"/>
          <w:bCs/>
          <w:snapToGrid w:val="0"/>
          <w:sz w:val="24"/>
          <w:szCs w:val="24"/>
          <w:lang w:val="kk-KZ"/>
        </w:rPr>
      </w:pPr>
    </w:p>
    <w:p w:rsidR="003B03D5" w:rsidRPr="003B03D5" w:rsidRDefault="003B03D5" w:rsidP="003B03D5">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p>
    <w:p w:rsidR="003B03D5" w:rsidRPr="003B03D5" w:rsidRDefault="003B03D5" w:rsidP="003B03D5">
      <w:pPr>
        <w:spacing w:after="0" w:line="240" w:lineRule="auto"/>
        <w:jc w:val="center"/>
        <w:rPr>
          <w:rFonts w:ascii="Calibri" w:eastAsia="Times New Roman" w:hAnsi="Calibri" w:cs="Times New Roman"/>
          <w:lang w:val="kk-KZ"/>
        </w:rPr>
      </w:pPr>
      <w:r w:rsidRPr="003B03D5">
        <w:rPr>
          <w:rFonts w:ascii="Calibri" w:eastAsia="Times New Roman" w:hAnsi="Calibri" w:cs="Times New Roman"/>
          <w:lang w:val="kk-KZ"/>
        </w:rPr>
        <w:t>Толығырақ ақпаратты мына телефондар бойынша алуға болады:</w:t>
      </w:r>
    </w:p>
    <w:p w:rsidR="003B03D5" w:rsidRPr="003B03D5" w:rsidRDefault="003B03D5" w:rsidP="003B03D5">
      <w:pPr>
        <w:spacing w:after="0" w:line="240" w:lineRule="auto"/>
        <w:jc w:val="center"/>
        <w:rPr>
          <w:rFonts w:ascii="Calibri" w:eastAsia="Times New Roman" w:hAnsi="Calibri" w:cs="Times New Roman"/>
          <w:lang w:val="en-US"/>
        </w:rPr>
      </w:pPr>
      <w:r w:rsidRPr="003B03D5">
        <w:rPr>
          <w:rFonts w:ascii="Calibri" w:eastAsia="Times New Roman" w:hAnsi="Calibri" w:cs="Times New Roman"/>
          <w:lang w:val="en-US"/>
        </w:rPr>
        <w:t>+7 (727) 270 46 39</w:t>
      </w:r>
    </w:p>
    <w:p w:rsidR="003B03D5" w:rsidRPr="003B03D5" w:rsidRDefault="003B03D5" w:rsidP="003B03D5">
      <w:pPr>
        <w:spacing w:after="0" w:line="240" w:lineRule="auto"/>
        <w:jc w:val="center"/>
        <w:rPr>
          <w:rFonts w:ascii="Calibri" w:eastAsia="Times New Roman" w:hAnsi="Calibri" w:cs="Times New Roman"/>
          <w:lang w:val="en-US"/>
        </w:rPr>
      </w:pPr>
      <w:r w:rsidRPr="003B03D5">
        <w:rPr>
          <w:rFonts w:ascii="Calibri" w:eastAsia="Times New Roman" w:hAnsi="Calibri" w:cs="Times New Roman"/>
          <w:lang w:val="en-US"/>
        </w:rPr>
        <w:t>+7 (727) 270 45 85</w:t>
      </w:r>
    </w:p>
    <w:p w:rsidR="003B03D5" w:rsidRPr="003B03D5" w:rsidRDefault="003B03D5" w:rsidP="003B03D5">
      <w:pPr>
        <w:spacing w:after="0" w:line="240" w:lineRule="auto"/>
        <w:jc w:val="center"/>
        <w:rPr>
          <w:rFonts w:ascii="Calibri" w:eastAsia="Times New Roman" w:hAnsi="Calibri" w:cs="Times New Roman"/>
          <w:lang w:val="en-US"/>
        </w:rPr>
      </w:pPr>
      <w:r w:rsidRPr="003B03D5">
        <w:rPr>
          <w:rFonts w:ascii="Calibri" w:eastAsia="Times New Roman" w:hAnsi="Calibri" w:cs="Times New Roman"/>
          <w:lang w:val="en-US"/>
        </w:rPr>
        <w:t>+7 (727) 330 24 97</w:t>
      </w:r>
    </w:p>
    <w:p w:rsidR="003B03D5" w:rsidRPr="003B03D5" w:rsidRDefault="003B03D5" w:rsidP="003B03D5">
      <w:pPr>
        <w:spacing w:after="0" w:line="240" w:lineRule="auto"/>
        <w:jc w:val="center"/>
        <w:rPr>
          <w:rFonts w:ascii="Calibri" w:eastAsia="Times New Roman" w:hAnsi="Calibri" w:cs="Times New Roman"/>
          <w:lang w:val="en-US"/>
        </w:rPr>
      </w:pPr>
      <w:proofErr w:type="gramStart"/>
      <w:r w:rsidRPr="003B03D5">
        <w:rPr>
          <w:rFonts w:ascii="Calibri" w:eastAsia="Times New Roman" w:hAnsi="Calibri" w:cs="Times New Roman"/>
          <w:lang w:val="en-US"/>
        </w:rPr>
        <w:t>e-mail</w:t>
      </w:r>
      <w:proofErr w:type="gramEnd"/>
      <w:r w:rsidRPr="003B03D5">
        <w:rPr>
          <w:rFonts w:ascii="Calibri" w:eastAsia="Times New Roman" w:hAnsi="Calibri" w:cs="Times New Roman"/>
          <w:lang w:val="en-US"/>
        </w:rPr>
        <w:t>: press@nationalbank.kz</w:t>
      </w:r>
    </w:p>
    <w:p w:rsidR="003B03D5" w:rsidRPr="003B03D5" w:rsidRDefault="003B03D5" w:rsidP="003B03D5">
      <w:pPr>
        <w:spacing w:after="0" w:line="240" w:lineRule="auto"/>
        <w:jc w:val="center"/>
        <w:rPr>
          <w:rFonts w:ascii="Calibri" w:eastAsia="Times New Roman" w:hAnsi="Calibri" w:cs="Times New Roman"/>
          <w:lang w:val="en-US"/>
        </w:rPr>
      </w:pPr>
      <w:r w:rsidRPr="003B03D5">
        <w:rPr>
          <w:rFonts w:ascii="Calibri" w:eastAsia="Times New Roman" w:hAnsi="Calibri" w:cs="Times New Roman"/>
          <w:lang w:val="en-US"/>
        </w:rPr>
        <w:t>www.nationalbank.kz</w:t>
      </w:r>
    </w:p>
    <w:p w:rsidR="003B03D5" w:rsidRPr="003B03D5" w:rsidRDefault="003B03D5" w:rsidP="003B03D5">
      <w:pPr>
        <w:spacing w:after="0" w:line="240" w:lineRule="auto"/>
        <w:jc w:val="both"/>
        <w:rPr>
          <w:rFonts w:ascii="Times New Roman" w:eastAsia="Times New Roman" w:hAnsi="Times New Roman" w:cs="Times New Roman"/>
          <w:b/>
          <w:sz w:val="28"/>
          <w:szCs w:val="28"/>
          <w:lang w:val="kk-KZ" w:eastAsia="ru-RU"/>
        </w:rPr>
      </w:pPr>
    </w:p>
    <w:p w:rsidR="003B03D5" w:rsidRPr="003B03D5" w:rsidRDefault="003B03D5" w:rsidP="003B03D5">
      <w:pPr>
        <w:spacing w:after="0" w:line="240" w:lineRule="auto"/>
        <w:rPr>
          <w:rFonts w:ascii="Times New Roman" w:eastAsia="Times New Roman" w:hAnsi="Times New Roman" w:cs="Times New Roman"/>
          <w:sz w:val="24"/>
          <w:szCs w:val="24"/>
          <w:lang w:val="en-US" w:eastAsia="ru-RU"/>
        </w:rPr>
      </w:pPr>
    </w:p>
    <w:p w:rsidR="003B03D5" w:rsidRPr="003B03D5" w:rsidRDefault="003B03D5" w:rsidP="003B03D5">
      <w:pPr>
        <w:spacing w:after="0" w:line="240" w:lineRule="auto"/>
        <w:rPr>
          <w:rFonts w:ascii="Times New Roman" w:eastAsia="Times New Roman" w:hAnsi="Times New Roman" w:cs="Times New Roman"/>
          <w:sz w:val="24"/>
          <w:szCs w:val="24"/>
          <w:lang w:val="en-US" w:eastAsia="ru-RU"/>
        </w:rPr>
      </w:pPr>
    </w:p>
    <w:p w:rsidR="00601781" w:rsidRPr="003B03D5" w:rsidRDefault="00601781">
      <w:pPr>
        <w:rPr>
          <w:lang w:val="en-US"/>
        </w:rPr>
      </w:pPr>
    </w:p>
    <w:sectPr w:rsidR="00601781" w:rsidRPr="003B03D5" w:rsidSect="006E0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AA"/>
    <w:rsid w:val="000217FF"/>
    <w:rsid w:val="00142EAA"/>
    <w:rsid w:val="003B03D5"/>
    <w:rsid w:val="0060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3D5"/>
    <w:rPr>
      <w:rFonts w:ascii="Tahoma" w:hAnsi="Tahoma" w:cs="Tahoma"/>
      <w:sz w:val="16"/>
      <w:szCs w:val="16"/>
    </w:rPr>
  </w:style>
  <w:style w:type="paragraph" w:styleId="2">
    <w:name w:val="Body Text Indent 2"/>
    <w:basedOn w:val="a"/>
    <w:link w:val="20"/>
    <w:uiPriority w:val="99"/>
    <w:rsid w:val="003B03D5"/>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link w:val="2"/>
    <w:uiPriority w:val="99"/>
    <w:rsid w:val="003B03D5"/>
    <w:rPr>
      <w:rFonts w:ascii="Times New Roman" w:eastAsia="Calibri" w:hAnsi="Times New Roman" w:cs="Times New Roman"/>
      <w:sz w:val="24"/>
      <w:szCs w:val="24"/>
      <w:lang w:eastAsia="ru-RU"/>
    </w:rPr>
  </w:style>
  <w:style w:type="paragraph" w:styleId="a5">
    <w:name w:val="Body Text Indent"/>
    <w:basedOn w:val="a"/>
    <w:link w:val="a6"/>
    <w:uiPriority w:val="99"/>
    <w:rsid w:val="003B03D5"/>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rsid w:val="003B03D5"/>
    <w:rPr>
      <w:rFonts w:ascii="Calibri" w:eastAsia="Times New Roman" w:hAnsi="Calibri" w:cs="Times New Roman"/>
    </w:rPr>
  </w:style>
  <w:style w:type="paragraph" w:customStyle="1" w:styleId="1">
    <w:name w:val="Стиль1"/>
    <w:basedOn w:val="a"/>
    <w:uiPriority w:val="99"/>
    <w:rsid w:val="003B03D5"/>
    <w:pPr>
      <w:widowControl w:val="0"/>
      <w:spacing w:after="0" w:line="240" w:lineRule="auto"/>
      <w:jc w:val="both"/>
    </w:pPr>
    <w:rPr>
      <w:rFonts w:ascii="Times New Roman" w:eastAsia="Calibri" w:hAnsi="Times New Roman" w:cs="Times New Roman"/>
      <w:sz w:val="28"/>
      <w:szCs w:val="24"/>
      <w:lang w:eastAsia="ru-RU"/>
    </w:rPr>
  </w:style>
  <w:style w:type="paragraph" w:styleId="a7">
    <w:name w:val="Body Text"/>
    <w:basedOn w:val="a"/>
    <w:link w:val="a8"/>
    <w:uiPriority w:val="99"/>
    <w:rsid w:val="003B03D5"/>
    <w:pPr>
      <w:spacing w:after="12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7"/>
    <w:uiPriority w:val="99"/>
    <w:rsid w:val="003B03D5"/>
    <w:rPr>
      <w:rFonts w:ascii="Times New Roman" w:eastAsia="Calibri" w:hAnsi="Times New Roman" w:cs="Times New Roman"/>
      <w:sz w:val="24"/>
      <w:szCs w:val="24"/>
      <w:lang w:eastAsia="ru-RU"/>
    </w:rPr>
  </w:style>
  <w:style w:type="character" w:styleId="a9">
    <w:name w:val="Hyperlink"/>
    <w:basedOn w:val="a0"/>
    <w:uiPriority w:val="99"/>
    <w:unhideWhenUsed/>
    <w:rsid w:val="003B03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3D5"/>
    <w:rPr>
      <w:rFonts w:ascii="Tahoma" w:hAnsi="Tahoma" w:cs="Tahoma"/>
      <w:sz w:val="16"/>
      <w:szCs w:val="16"/>
    </w:rPr>
  </w:style>
  <w:style w:type="paragraph" w:styleId="2">
    <w:name w:val="Body Text Indent 2"/>
    <w:basedOn w:val="a"/>
    <w:link w:val="20"/>
    <w:uiPriority w:val="99"/>
    <w:rsid w:val="003B03D5"/>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link w:val="2"/>
    <w:uiPriority w:val="99"/>
    <w:rsid w:val="003B03D5"/>
    <w:rPr>
      <w:rFonts w:ascii="Times New Roman" w:eastAsia="Calibri" w:hAnsi="Times New Roman" w:cs="Times New Roman"/>
      <w:sz w:val="24"/>
      <w:szCs w:val="24"/>
      <w:lang w:eastAsia="ru-RU"/>
    </w:rPr>
  </w:style>
  <w:style w:type="paragraph" w:styleId="a5">
    <w:name w:val="Body Text Indent"/>
    <w:basedOn w:val="a"/>
    <w:link w:val="a6"/>
    <w:uiPriority w:val="99"/>
    <w:rsid w:val="003B03D5"/>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rsid w:val="003B03D5"/>
    <w:rPr>
      <w:rFonts w:ascii="Calibri" w:eastAsia="Times New Roman" w:hAnsi="Calibri" w:cs="Times New Roman"/>
    </w:rPr>
  </w:style>
  <w:style w:type="paragraph" w:customStyle="1" w:styleId="1">
    <w:name w:val="Стиль1"/>
    <w:basedOn w:val="a"/>
    <w:uiPriority w:val="99"/>
    <w:rsid w:val="003B03D5"/>
    <w:pPr>
      <w:widowControl w:val="0"/>
      <w:spacing w:after="0" w:line="240" w:lineRule="auto"/>
      <w:jc w:val="both"/>
    </w:pPr>
    <w:rPr>
      <w:rFonts w:ascii="Times New Roman" w:eastAsia="Calibri" w:hAnsi="Times New Roman" w:cs="Times New Roman"/>
      <w:sz w:val="28"/>
      <w:szCs w:val="24"/>
      <w:lang w:eastAsia="ru-RU"/>
    </w:rPr>
  </w:style>
  <w:style w:type="paragraph" w:styleId="a7">
    <w:name w:val="Body Text"/>
    <w:basedOn w:val="a"/>
    <w:link w:val="a8"/>
    <w:uiPriority w:val="99"/>
    <w:rsid w:val="003B03D5"/>
    <w:pPr>
      <w:spacing w:after="12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7"/>
    <w:uiPriority w:val="99"/>
    <w:rsid w:val="003B03D5"/>
    <w:rPr>
      <w:rFonts w:ascii="Times New Roman" w:eastAsia="Calibri" w:hAnsi="Times New Roman" w:cs="Times New Roman"/>
      <w:sz w:val="24"/>
      <w:szCs w:val="24"/>
      <w:lang w:eastAsia="ru-RU"/>
    </w:rPr>
  </w:style>
  <w:style w:type="character" w:styleId="a9">
    <w:name w:val="Hyperlink"/>
    <w:basedOn w:val="a0"/>
    <w:uiPriority w:val="99"/>
    <w:unhideWhenUsed/>
    <w:rsid w:val="003B0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ationalbank.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3</cp:revision>
  <dcterms:created xsi:type="dcterms:W3CDTF">2015-08-11T05:38:00Z</dcterms:created>
  <dcterms:modified xsi:type="dcterms:W3CDTF">2015-08-13T11:23:00Z</dcterms:modified>
</cp:coreProperties>
</file>