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EE" w:rsidRPr="00C81084" w:rsidRDefault="00C81084" w:rsidP="00C81084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  <w:r w:rsidRPr="00C81084">
        <w:rPr>
          <w:rFonts w:ascii="Times New Roman" w:hAnsi="Times New Roman"/>
          <w:b/>
          <w:bCs/>
          <w:sz w:val="24"/>
          <w:szCs w:val="24"/>
          <w:lang w:val="kk-KZ"/>
        </w:rPr>
        <w:t>ҚАЗАҚСТАН РЕСПУБЛИКАСЫНЫҢ</w:t>
      </w:r>
      <w:r w:rsidRPr="00C8108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8774EE" w:rsidRPr="00C8108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CD22BDC" wp14:editId="15E95CC2">
            <wp:simplePos x="0" y="0"/>
            <wp:positionH relativeFrom="column">
              <wp:posOffset>-232410</wp:posOffset>
            </wp:positionH>
            <wp:positionV relativeFrom="paragraph">
              <wp:posOffset>-453390</wp:posOffset>
            </wp:positionV>
            <wp:extent cx="1932980" cy="19240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 xml:space="preserve">                                              </w:t>
      </w:r>
    </w:p>
    <w:p w:rsidR="00C81084" w:rsidRDefault="00C81084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C81084">
        <w:rPr>
          <w:rFonts w:ascii="Times New Roman" w:eastAsia="Times New Roman" w:hAnsi="Times New Roman"/>
          <w:b/>
          <w:noProof/>
          <w:sz w:val="24"/>
          <w:szCs w:val="24"/>
          <w:lang w:val="kk-KZ" w:eastAsia="ru-RU"/>
        </w:rPr>
        <w:t>ҰЛТТЫҚ</w:t>
      </w:r>
      <w:r w:rsidRPr="00C810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БАНК</w:t>
      </w:r>
      <w:r w:rsidRPr="00C8108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774EE" w:rsidRPr="004273AC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r w:rsidR="00892D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44 </w:t>
      </w:r>
      <w:r w:rsidR="00C81084" w:rsidRPr="00C8108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81084" w:rsidRPr="008A4416">
        <w:rPr>
          <w:rFonts w:ascii="Times New Roman" w:hAnsi="Times New Roman"/>
          <w:b/>
          <w:bCs/>
          <w:sz w:val="24"/>
          <w:szCs w:val="24"/>
          <w:lang w:val="kk-KZ"/>
        </w:rPr>
        <w:t xml:space="preserve">Б А С </w:t>
      </w:r>
      <w:proofErr w:type="gramStart"/>
      <w:r w:rsidR="00C81084" w:rsidRPr="008A4416">
        <w:rPr>
          <w:rFonts w:ascii="Times New Roman" w:hAnsi="Times New Roman"/>
          <w:b/>
          <w:bCs/>
          <w:sz w:val="24"/>
          <w:szCs w:val="24"/>
          <w:lang w:val="kk-KZ"/>
        </w:rPr>
        <w:t>П</w:t>
      </w:r>
      <w:proofErr w:type="gramEnd"/>
      <w:r w:rsidR="00C81084" w:rsidRPr="008A4416">
        <w:rPr>
          <w:rFonts w:ascii="Times New Roman" w:hAnsi="Times New Roman"/>
          <w:b/>
          <w:bCs/>
          <w:sz w:val="24"/>
          <w:szCs w:val="24"/>
          <w:lang w:val="kk-KZ"/>
        </w:rPr>
        <w:t xml:space="preserve"> А С Ө З   Р Е Л И З І</w:t>
      </w:r>
      <w:r w:rsidR="00451A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774EE" w:rsidRPr="00C81084" w:rsidRDefault="008774EE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342A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2013 </w:t>
      </w:r>
      <w:r w:rsidR="00C8108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жылғы 1</w:t>
      </w:r>
      <w:r w:rsidR="00AA2907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5</w:t>
      </w:r>
      <w:r w:rsidR="00C81084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қараша</w:t>
      </w:r>
    </w:p>
    <w:p w:rsidR="008774EE" w:rsidRPr="0087659B" w:rsidRDefault="008774EE" w:rsidP="008774EE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C81084" w:rsidRPr="008A4416" w:rsidRDefault="00C81084" w:rsidP="00C81084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  <w:r w:rsidRPr="008A4416"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>Қаржы нарығындағы ахуал туралы</w:t>
      </w:r>
    </w:p>
    <w:p w:rsidR="00C81084" w:rsidRDefault="00C81084" w:rsidP="00C8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:rsidR="008774EE" w:rsidRDefault="008774EE" w:rsidP="0087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7300F1" w:rsidRDefault="007300F1" w:rsidP="0087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FA6EBF" w:rsidRDefault="00FA6EBF" w:rsidP="008774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BC0245" w:rsidRPr="0017242A" w:rsidRDefault="00BC0245" w:rsidP="00751D83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7242A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Инфляция </w:t>
      </w:r>
    </w:p>
    <w:p w:rsidR="00C81084" w:rsidRPr="008A4416" w:rsidRDefault="00C81084" w:rsidP="006F2D5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Қазақстан Республикасы Статистика агенттігінің ресми деректері бойынша 2013 жылғы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 инфляция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3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% (2012 жылғы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 –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7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%) деңгейінде қалыптасты. Азық-түлік тауарларының бағасы </w:t>
      </w:r>
      <w:r w:rsidRPr="00DA505D">
        <w:rPr>
          <w:rFonts w:ascii="Times New Roman" w:hAnsi="Times New Roman"/>
          <w:sz w:val="24"/>
          <w:szCs w:val="24"/>
          <w:lang w:val="kk-KZ"/>
        </w:rPr>
        <w:t>0,2% (0,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DA505D">
        <w:rPr>
          <w:rFonts w:ascii="Times New Roman" w:hAnsi="Times New Roman"/>
          <w:sz w:val="24"/>
          <w:szCs w:val="24"/>
          <w:lang w:val="kk-KZ"/>
        </w:rPr>
        <w:t xml:space="preserve">%), 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азық-түлікке жатпайтын тауарлар </w:t>
      </w:r>
      <w:r w:rsidRPr="008A4416">
        <w:rPr>
          <w:rFonts w:ascii="Times New Roman" w:hAnsi="Times New Roman"/>
          <w:sz w:val="24"/>
          <w:szCs w:val="24"/>
          <w:lang w:val="kk-KZ"/>
        </w:rPr>
        <w:t>0,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8A4416">
        <w:rPr>
          <w:rFonts w:ascii="Times New Roman" w:hAnsi="Times New Roman"/>
          <w:sz w:val="24"/>
          <w:szCs w:val="24"/>
          <w:lang w:val="kk-KZ"/>
        </w:rPr>
        <w:t>% (</w:t>
      </w:r>
      <w:r>
        <w:rPr>
          <w:rFonts w:ascii="Times New Roman" w:hAnsi="Times New Roman"/>
          <w:sz w:val="24"/>
          <w:szCs w:val="24"/>
          <w:lang w:val="kk-KZ"/>
        </w:rPr>
        <w:t>0,6</w:t>
      </w:r>
      <w:r w:rsidRPr="008A4416">
        <w:rPr>
          <w:rFonts w:ascii="Times New Roman" w:hAnsi="Times New Roman"/>
          <w:sz w:val="24"/>
          <w:szCs w:val="24"/>
          <w:lang w:val="kk-KZ"/>
        </w:rPr>
        <w:t>%)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 өсті. Ақылы қызмет көрсету тарифтері 0,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>% (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0,9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%) өсті. </w:t>
      </w:r>
    </w:p>
    <w:p w:rsidR="00194338" w:rsidRPr="00AA2907" w:rsidRDefault="001F2730" w:rsidP="006F2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Азық-түлік тауарлары нарығында 2013 жылғы </w:t>
      </w:r>
      <w:r>
        <w:rPr>
          <w:rFonts w:ascii="Times New Roman" w:hAnsi="Times New Roman"/>
          <w:sz w:val="24"/>
          <w:szCs w:val="24"/>
          <w:lang w:val="kk-KZ"/>
        </w:rPr>
        <w:t>қазанда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көп дәрежеде </w:t>
      </w:r>
      <w:r>
        <w:rPr>
          <w:rFonts w:ascii="Times New Roman" w:hAnsi="Times New Roman"/>
          <w:sz w:val="24"/>
          <w:szCs w:val="24"/>
          <w:lang w:val="kk-KZ"/>
        </w:rPr>
        <w:t xml:space="preserve">жұмыртқа 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8,6%,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сүт өнімдері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0,9%,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нан және 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>макарон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өнімдері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0,6%,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балық және теңіз өнімдері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0,6%,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күріш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0,3%,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ет және ет өнімдері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0,2%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қымбаттады</w:t>
      </w:r>
      <w:r w:rsidR="00194338" w:rsidRPr="001F273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Бұдан басқа темекі бұйымдарының бағасы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3,3%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өсті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>Жемістер мен көкөністер бағасы</w:t>
      </w:r>
      <w:r w:rsidR="005F1228">
        <w:rPr>
          <w:rFonts w:ascii="Times New Roman" w:eastAsia="Times New Roman" w:hAnsi="Times New Roman"/>
          <w:sz w:val="24"/>
          <w:szCs w:val="24"/>
          <w:lang w:val="kk-KZ" w:eastAsia="ru-RU"/>
        </w:rPr>
        <w:t>ның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3,0%, 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оның ішінде пияз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– 8,4%, карто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>п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7,4%, 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>сәбіз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6,6%, 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сондай-ақ қант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0,2%, 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жарма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– 0,6%</w:t>
      </w:r>
      <w:r w:rsidR="00D309F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төменде</w:t>
      </w:r>
      <w:r w:rsidR="005F1228">
        <w:rPr>
          <w:rFonts w:ascii="Times New Roman" w:eastAsia="Times New Roman" w:hAnsi="Times New Roman"/>
          <w:sz w:val="24"/>
          <w:szCs w:val="24"/>
          <w:lang w:val="kk-KZ" w:eastAsia="ru-RU"/>
        </w:rPr>
        <w:t>гені тіркелді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94338" w:rsidRPr="00AA2907" w:rsidRDefault="0094168C" w:rsidP="006F2D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Азық-түлікке жатпайтын тауарлар тобында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сырт </w:t>
      </w:r>
      <w:r w:rsidRPr="008A4416">
        <w:rPr>
          <w:rFonts w:ascii="Times New Roman" w:hAnsi="Times New Roman"/>
          <w:sz w:val="24"/>
          <w:szCs w:val="24"/>
          <w:lang w:val="kk-KZ"/>
        </w:rPr>
        <w:t>киімнің бағасы</w:t>
      </w:r>
      <w:r>
        <w:rPr>
          <w:rFonts w:ascii="Times New Roman" w:hAnsi="Times New Roman"/>
          <w:sz w:val="24"/>
          <w:szCs w:val="24"/>
          <w:lang w:val="kk-KZ"/>
        </w:rPr>
        <w:t xml:space="preserve"> 0,</w:t>
      </w:r>
      <w:r w:rsidR="000D54DF">
        <w:rPr>
          <w:rFonts w:ascii="Times New Roman" w:hAnsi="Times New Roman"/>
          <w:sz w:val="24"/>
          <w:szCs w:val="24"/>
          <w:lang w:val="kk-KZ"/>
        </w:rPr>
        <w:t>4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%, </w:t>
      </w:r>
      <w:r w:rsidR="000D54DF">
        <w:rPr>
          <w:rFonts w:ascii="Times New Roman" w:eastAsia="Times New Roman" w:hAnsi="Times New Roman"/>
          <w:sz w:val="24"/>
          <w:szCs w:val="24"/>
          <w:lang w:val="kk-KZ" w:eastAsia="ru-RU"/>
        </w:rPr>
        <w:t>маталар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0,8%, </w:t>
      </w:r>
      <w:r w:rsidR="000D54DF">
        <w:rPr>
          <w:rFonts w:ascii="Times New Roman" w:eastAsia="Times New Roman" w:hAnsi="Times New Roman"/>
          <w:sz w:val="24"/>
          <w:szCs w:val="24"/>
          <w:lang w:val="kk-KZ" w:eastAsia="ru-RU"/>
        </w:rPr>
        <w:t>тұрмыстық үй заттары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0,2%, </w:t>
      </w:r>
      <w:r w:rsidR="000D54DF">
        <w:rPr>
          <w:rFonts w:ascii="Times New Roman" w:eastAsia="Times New Roman" w:hAnsi="Times New Roman"/>
          <w:sz w:val="24"/>
          <w:szCs w:val="24"/>
          <w:lang w:val="kk-KZ" w:eastAsia="ru-RU"/>
        </w:rPr>
        <w:t>дәрі-дәрмектер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0,2% </w:t>
      </w:r>
      <w:r w:rsidR="000D54DF" w:rsidRPr="000D54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54DF" w:rsidRPr="008A4416">
        <w:rPr>
          <w:rFonts w:ascii="Times New Roman" w:hAnsi="Times New Roman"/>
          <w:sz w:val="24"/>
          <w:szCs w:val="24"/>
          <w:lang w:val="kk-KZ"/>
        </w:rPr>
        <w:t>көтерілді.</w:t>
      </w:r>
      <w:r w:rsidR="000D54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54DF" w:rsidRPr="008A4416">
        <w:rPr>
          <w:rFonts w:ascii="Times New Roman" w:hAnsi="Times New Roman"/>
          <w:sz w:val="24"/>
          <w:szCs w:val="24"/>
          <w:lang w:val="kk-KZ"/>
        </w:rPr>
        <w:t>Б</w:t>
      </w:r>
      <w:r w:rsidR="000D54DF" w:rsidRPr="00637241">
        <w:rPr>
          <w:rFonts w:ascii="Times New Roman" w:hAnsi="Times New Roman"/>
          <w:sz w:val="24"/>
          <w:szCs w:val="24"/>
          <w:lang w:val="kk-KZ"/>
        </w:rPr>
        <w:t>ензин</w:t>
      </w:r>
      <w:r w:rsidR="000D54DF" w:rsidRPr="008A4416"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="000D54DF">
        <w:rPr>
          <w:rFonts w:ascii="Times New Roman" w:hAnsi="Times New Roman"/>
          <w:sz w:val="24"/>
          <w:szCs w:val="24"/>
          <w:lang w:val="kk-KZ"/>
        </w:rPr>
        <w:t>құны 1,8</w:t>
      </w:r>
      <w:r w:rsidR="000D54DF" w:rsidRPr="00AA2907">
        <w:rPr>
          <w:rFonts w:ascii="Times New Roman" w:hAnsi="Times New Roman"/>
          <w:sz w:val="24"/>
          <w:szCs w:val="24"/>
          <w:lang w:val="kk-KZ"/>
        </w:rPr>
        <w:t>%</w:t>
      </w:r>
      <w:r w:rsidR="000D54DF">
        <w:rPr>
          <w:rFonts w:ascii="Times New Roman" w:hAnsi="Times New Roman"/>
          <w:sz w:val="24"/>
          <w:szCs w:val="24"/>
          <w:lang w:val="kk-KZ"/>
        </w:rPr>
        <w:t>-ға</w:t>
      </w:r>
      <w:r w:rsidR="000D54DF" w:rsidRPr="00AA2907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D54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54DF" w:rsidRPr="00637241">
        <w:rPr>
          <w:rFonts w:ascii="Times New Roman" w:hAnsi="Times New Roman"/>
          <w:sz w:val="24"/>
          <w:szCs w:val="24"/>
          <w:lang w:val="kk-KZ"/>
        </w:rPr>
        <w:t>дизель</w:t>
      </w:r>
      <w:r w:rsidR="000D54DF" w:rsidRPr="008A4416">
        <w:rPr>
          <w:rFonts w:ascii="Times New Roman" w:hAnsi="Times New Roman"/>
          <w:sz w:val="24"/>
          <w:szCs w:val="24"/>
          <w:lang w:val="kk-KZ"/>
        </w:rPr>
        <w:t xml:space="preserve"> отыны</w:t>
      </w:r>
      <w:r w:rsidR="000D54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54DF" w:rsidRPr="00637241">
        <w:rPr>
          <w:rFonts w:ascii="Times New Roman" w:hAnsi="Times New Roman"/>
          <w:sz w:val="24"/>
          <w:szCs w:val="24"/>
          <w:lang w:val="kk-KZ"/>
        </w:rPr>
        <w:t>0,</w:t>
      </w:r>
      <w:r w:rsidR="000D54DF">
        <w:rPr>
          <w:rFonts w:ascii="Times New Roman" w:hAnsi="Times New Roman"/>
          <w:sz w:val="24"/>
          <w:szCs w:val="24"/>
          <w:lang w:val="kk-KZ"/>
        </w:rPr>
        <w:t>5</w:t>
      </w:r>
      <w:r w:rsidR="000D54DF" w:rsidRPr="00637241">
        <w:rPr>
          <w:rFonts w:ascii="Times New Roman" w:hAnsi="Times New Roman"/>
          <w:sz w:val="24"/>
          <w:szCs w:val="24"/>
          <w:lang w:val="kk-KZ"/>
        </w:rPr>
        <w:t>%</w:t>
      </w:r>
      <w:r w:rsidR="000D54DF" w:rsidRPr="008A4416">
        <w:rPr>
          <w:rFonts w:ascii="Times New Roman" w:hAnsi="Times New Roman"/>
          <w:sz w:val="24"/>
          <w:szCs w:val="24"/>
          <w:lang w:val="kk-KZ"/>
        </w:rPr>
        <w:t>-ға көтерілді</w:t>
      </w:r>
    </w:p>
    <w:p w:rsidR="00975D4D" w:rsidRPr="00975D4D" w:rsidRDefault="00975D4D" w:rsidP="006F2D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Ақылы қызмет көрсету тобында тұрғын үй-коммуналдық саладағы қызметке ақы төлеу </w:t>
      </w:r>
      <w:r w:rsidRPr="00637241">
        <w:rPr>
          <w:rFonts w:ascii="Times New Roman" w:hAnsi="Times New Roman"/>
          <w:sz w:val="24"/>
          <w:szCs w:val="24"/>
          <w:lang w:val="kk-KZ"/>
        </w:rPr>
        <w:t>0,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637241">
        <w:rPr>
          <w:rFonts w:ascii="Times New Roman" w:hAnsi="Times New Roman"/>
          <w:sz w:val="24"/>
          <w:szCs w:val="24"/>
          <w:lang w:val="kk-KZ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>-ға өсті</w:t>
      </w:r>
      <w:r w:rsidRPr="00637241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құны </w:t>
      </w:r>
      <w:r w:rsidRPr="006F3AE1">
        <w:rPr>
          <w:rFonts w:ascii="Times New Roman" w:hAnsi="Times New Roman"/>
          <w:sz w:val="24"/>
          <w:szCs w:val="24"/>
          <w:lang w:val="kk-KZ"/>
        </w:rPr>
        <w:t xml:space="preserve">1,4%, </w:t>
      </w:r>
      <w:r>
        <w:rPr>
          <w:rFonts w:ascii="Times New Roman" w:hAnsi="Times New Roman"/>
          <w:sz w:val="24"/>
          <w:szCs w:val="24"/>
          <w:lang w:val="kk-KZ"/>
        </w:rPr>
        <w:t>тұрғын үйді ұстау</w:t>
      </w:r>
      <w:r w:rsidRPr="006F3AE1">
        <w:rPr>
          <w:rFonts w:ascii="Times New Roman" w:hAnsi="Times New Roman"/>
          <w:sz w:val="24"/>
          <w:szCs w:val="24"/>
          <w:lang w:val="kk-KZ"/>
        </w:rPr>
        <w:t xml:space="preserve"> – 0,8%</w:t>
      </w:r>
      <w:r>
        <w:rPr>
          <w:rFonts w:ascii="Times New Roman" w:hAnsi="Times New Roman"/>
          <w:sz w:val="24"/>
          <w:szCs w:val="24"/>
          <w:lang w:val="kk-KZ"/>
        </w:rPr>
        <w:t xml:space="preserve"> қымбаттады</w:t>
      </w:r>
      <w:r w:rsidRPr="006F3AE1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Бұдан басқа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өткен айда білім беру бағасы 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4,1%, </w:t>
      </w:r>
      <w:r>
        <w:rPr>
          <w:rFonts w:ascii="Times New Roman" w:hAnsi="Times New Roman"/>
          <w:sz w:val="24"/>
          <w:szCs w:val="24"/>
          <w:lang w:val="kk-KZ"/>
        </w:rPr>
        <w:t>оның ішінде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жоғары 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– 6,1%, </w:t>
      </w:r>
      <w:r>
        <w:rPr>
          <w:rFonts w:ascii="Times New Roman" w:hAnsi="Times New Roman"/>
          <w:sz w:val="24"/>
          <w:szCs w:val="24"/>
          <w:lang w:val="kk-KZ"/>
        </w:rPr>
        <w:t>орта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 – 2,9%</w:t>
      </w:r>
      <w:r>
        <w:rPr>
          <w:rFonts w:ascii="Times New Roman" w:hAnsi="Times New Roman"/>
          <w:sz w:val="24"/>
          <w:szCs w:val="24"/>
          <w:lang w:val="kk-KZ"/>
        </w:rPr>
        <w:t xml:space="preserve"> көтерілді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сондай-ақ </w:t>
      </w:r>
      <w:r w:rsidRPr="00637241">
        <w:rPr>
          <w:rFonts w:ascii="Times New Roman" w:hAnsi="Times New Roman"/>
          <w:sz w:val="24"/>
          <w:szCs w:val="24"/>
          <w:lang w:val="kk-KZ"/>
        </w:rPr>
        <w:t>медицин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алық қызмет көрсету </w:t>
      </w:r>
      <w:r w:rsidRPr="00975D4D">
        <w:rPr>
          <w:rFonts w:ascii="Times New Roman" w:hAnsi="Times New Roman"/>
          <w:sz w:val="24"/>
          <w:szCs w:val="24"/>
          <w:lang w:val="kk-KZ"/>
        </w:rPr>
        <w:t>3,1%</w:t>
      </w:r>
      <w:r>
        <w:rPr>
          <w:rFonts w:ascii="Times New Roman" w:hAnsi="Times New Roman"/>
          <w:sz w:val="24"/>
          <w:szCs w:val="24"/>
          <w:lang w:val="kk-KZ"/>
        </w:rPr>
        <w:t xml:space="preserve"> қымбаттады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Көлік қызметінің құны 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0,2%, </w:t>
      </w:r>
      <w:r>
        <w:rPr>
          <w:rFonts w:ascii="Times New Roman" w:hAnsi="Times New Roman"/>
          <w:sz w:val="24"/>
          <w:szCs w:val="24"/>
          <w:lang w:val="kk-KZ"/>
        </w:rPr>
        <w:t xml:space="preserve">оның ішінде, теміржол көлігі 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– 1,5%, </w:t>
      </w:r>
      <w:r>
        <w:rPr>
          <w:rFonts w:ascii="Times New Roman" w:hAnsi="Times New Roman"/>
          <w:sz w:val="24"/>
          <w:szCs w:val="24"/>
          <w:lang w:val="kk-KZ"/>
        </w:rPr>
        <w:t>әуе көлігі</w:t>
      </w:r>
      <w:r w:rsidRPr="00975D4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қызметі </w:t>
      </w:r>
      <w:r w:rsidRPr="00975D4D">
        <w:rPr>
          <w:rFonts w:ascii="Times New Roman" w:hAnsi="Times New Roman"/>
          <w:sz w:val="24"/>
          <w:szCs w:val="24"/>
          <w:lang w:val="kk-KZ"/>
        </w:rPr>
        <w:t>– 0,2%</w:t>
      </w:r>
      <w:r>
        <w:rPr>
          <w:rFonts w:ascii="Times New Roman" w:hAnsi="Times New Roman"/>
          <w:sz w:val="24"/>
          <w:szCs w:val="24"/>
          <w:lang w:val="kk-KZ"/>
        </w:rPr>
        <w:t xml:space="preserve"> төмендеді</w:t>
      </w:r>
      <w:r w:rsidRPr="00975D4D">
        <w:rPr>
          <w:rFonts w:ascii="Times New Roman" w:hAnsi="Times New Roman"/>
          <w:sz w:val="24"/>
          <w:szCs w:val="24"/>
          <w:lang w:val="kk-KZ"/>
        </w:rPr>
        <w:t>.</w:t>
      </w:r>
    </w:p>
    <w:p w:rsidR="00194338" w:rsidRPr="00AA2907" w:rsidRDefault="00975D4D" w:rsidP="006F2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Бұл ретте суық су </w:t>
      </w:r>
      <w:r w:rsidR="00194338" w:rsidRPr="00975D4D">
        <w:rPr>
          <w:rFonts w:ascii="Times New Roman" w:eastAsia="Times New Roman" w:hAnsi="Times New Roman"/>
          <w:sz w:val="24"/>
          <w:szCs w:val="24"/>
          <w:lang w:val="kk-KZ" w:eastAsia="ru-RU"/>
        </w:rPr>
        <w:t>тариф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тері </w:t>
      </w:r>
      <w:r w:rsidR="00194338" w:rsidRPr="00975D4D">
        <w:rPr>
          <w:rFonts w:ascii="Times New Roman" w:eastAsia="Times New Roman" w:hAnsi="Times New Roman"/>
          <w:sz w:val="24"/>
          <w:szCs w:val="24"/>
          <w:lang w:val="kk-KZ" w:eastAsia="ru-RU"/>
        </w:rPr>
        <w:t>1,0%, к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әріз</w:t>
      </w:r>
      <w:r w:rsidR="00194338" w:rsidRPr="00975D4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0,9%,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қоқыс жинау</w:t>
      </w:r>
      <w:r w:rsidR="00194338" w:rsidRPr="00975D4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0,5%, </w:t>
      </w:r>
      <w:r>
        <w:rPr>
          <w:rFonts w:ascii="Times New Roman" w:hAnsi="Times New Roman"/>
          <w:sz w:val="24"/>
          <w:szCs w:val="24"/>
          <w:lang w:val="kk-KZ"/>
        </w:rPr>
        <w:t xml:space="preserve">тұрғын үйді жалға алу </w:t>
      </w:r>
      <w:r w:rsidR="00194338" w:rsidRPr="00975D4D">
        <w:rPr>
          <w:rFonts w:ascii="Times New Roman" w:eastAsia="Times New Roman" w:hAnsi="Times New Roman"/>
          <w:sz w:val="24"/>
          <w:szCs w:val="24"/>
          <w:lang w:val="kk-KZ" w:eastAsia="ru-RU"/>
        </w:rPr>
        <w:t>– 1,4%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өсті</w:t>
      </w:r>
      <w:r w:rsidR="00194338" w:rsidRPr="00975D4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Э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лектр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энерги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ясы үшін тарифтер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0,2%,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орталық жылыту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 0,1%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төмендеді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Бұдан басқа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0C185B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2013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жылғы қазанда медициналық қызмет көрсету бағасы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0,3%,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мейрамханалар мен қонақүйлердің қызметі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0,3%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өсті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көлік қызметі 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0,1%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арзандады</w:t>
      </w:r>
      <w:r w:rsidR="00194338"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194338" w:rsidRPr="00E26002" w:rsidRDefault="00194338" w:rsidP="006F2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2013 </w:t>
      </w:r>
      <w:r w:rsidR="00D663D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жылғы қаңтар-қазанда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инфляция 3,6% (2012 </w:t>
      </w:r>
      <w:r w:rsidR="00D663D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жылғы қаңтар-қазанда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– 4,6%)</w:t>
      </w:r>
      <w:r w:rsidR="00D663D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болды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E26002" w:rsidRPr="008A4416">
        <w:rPr>
          <w:rFonts w:ascii="Times New Roman" w:hAnsi="Times New Roman"/>
          <w:snapToGrid w:val="0"/>
          <w:sz w:val="24"/>
          <w:szCs w:val="24"/>
          <w:lang w:val="kk-KZ"/>
        </w:rPr>
        <w:t>Азық-түлік тауарлары 2013 жылд</w:t>
      </w:r>
      <w:r w:rsidR="00E26002">
        <w:rPr>
          <w:rFonts w:ascii="Times New Roman" w:hAnsi="Times New Roman"/>
          <w:snapToGrid w:val="0"/>
          <w:sz w:val="24"/>
          <w:szCs w:val="24"/>
          <w:lang w:val="kk-KZ"/>
        </w:rPr>
        <w:t xml:space="preserve">ың </w:t>
      </w:r>
      <w:r w:rsidR="00E26002" w:rsidRPr="008A4416">
        <w:rPr>
          <w:rFonts w:ascii="Times New Roman" w:hAnsi="Times New Roman"/>
          <w:snapToGrid w:val="0"/>
          <w:sz w:val="24"/>
          <w:szCs w:val="24"/>
          <w:lang w:val="kk-KZ"/>
        </w:rPr>
        <w:t>бас</w:t>
      </w:r>
      <w:r w:rsidR="00E26002">
        <w:rPr>
          <w:rFonts w:ascii="Times New Roman" w:hAnsi="Times New Roman"/>
          <w:snapToGrid w:val="0"/>
          <w:sz w:val="24"/>
          <w:szCs w:val="24"/>
          <w:lang w:val="kk-KZ"/>
        </w:rPr>
        <w:t xml:space="preserve">ынан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1,8% (3,8%), </w:t>
      </w:r>
      <w:r w:rsidR="00E26002" w:rsidRPr="008A4416">
        <w:rPr>
          <w:rFonts w:ascii="Times New Roman" w:hAnsi="Times New Roman"/>
          <w:sz w:val="24"/>
          <w:szCs w:val="24"/>
          <w:lang w:val="kk-KZ"/>
        </w:rPr>
        <w:t>азық-түлікке жатпайтын тауарлар</w:t>
      </w:r>
      <w:r w:rsidR="00E2600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2,2% (2,8%), </w:t>
      </w:r>
      <w:r w:rsidR="00E26002">
        <w:rPr>
          <w:rFonts w:ascii="Times New Roman" w:hAnsi="Times New Roman"/>
          <w:snapToGrid w:val="0"/>
          <w:sz w:val="24"/>
          <w:szCs w:val="24"/>
          <w:lang w:val="kk-KZ"/>
        </w:rPr>
        <w:t>ақылы қызмет көрсету</w:t>
      </w:r>
      <w:r w:rsidR="00E26002"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7,1% (7,5%)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қымбаттады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</w:t>
      </w:r>
      <w:r w:rsidR="006F2D55">
        <w:rPr>
          <w:rFonts w:ascii="Times New Roman" w:eastAsia="Times New Roman" w:hAnsi="Times New Roman"/>
          <w:sz w:val="24"/>
          <w:szCs w:val="24"/>
          <w:lang w:val="kk-KZ" w:eastAsia="ru-RU"/>
        </w:rPr>
        <w:t>1-г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рафик).</w:t>
      </w:r>
    </w:p>
    <w:p w:rsidR="00194338" w:rsidRPr="005A22F1" w:rsidRDefault="006F2D55" w:rsidP="00194338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1-г</w:t>
      </w:r>
      <w:r w:rsidR="00194338" w:rsidRPr="005A22F1">
        <w:rPr>
          <w:rFonts w:ascii="Times New Roman" w:eastAsia="Times New Roman" w:hAnsi="Times New Roman"/>
          <w:sz w:val="24"/>
          <w:szCs w:val="24"/>
          <w:lang w:val="kk-KZ" w:eastAsia="ru-RU"/>
        </w:rPr>
        <w:t>рафик</w:t>
      </w:r>
    </w:p>
    <w:p w:rsidR="005A22F1" w:rsidRDefault="005A22F1" w:rsidP="005A22F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>2012 және 2013 жж. қаңтар-</w:t>
      </w:r>
      <w:r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>қазандағы</w:t>
      </w:r>
      <w:r w:rsidRPr="008A4416"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 xml:space="preserve"> инфляция және </w:t>
      </w:r>
    </w:p>
    <w:p w:rsidR="005A22F1" w:rsidRDefault="005A22F1" w:rsidP="005A22F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>оның құрамдас бөліктері</w:t>
      </w:r>
    </w:p>
    <w:p w:rsidR="00C5705E" w:rsidRPr="008A4416" w:rsidRDefault="00C5705E" w:rsidP="005A22F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</w:pPr>
    </w:p>
    <w:p w:rsidR="00194338" w:rsidRPr="001917AA" w:rsidRDefault="00194338" w:rsidP="00194338">
      <w:pPr>
        <w:jc w:val="both"/>
        <w:rPr>
          <w:snapToGrid w:val="0"/>
          <w:sz w:val="24"/>
          <w:szCs w:val="24"/>
          <w:lang w:val="kk-KZ"/>
        </w:rPr>
      </w:pPr>
      <w:r w:rsidRPr="001917AA">
        <w:rPr>
          <w:noProof/>
          <w:sz w:val="24"/>
          <w:szCs w:val="24"/>
          <w:lang w:eastAsia="ru-RU"/>
        </w:rPr>
        <w:drawing>
          <wp:inline distT="0" distB="0" distL="0" distR="0" wp14:anchorId="5E7DEA2D" wp14:editId="1F8D9A6A">
            <wp:extent cx="5677232" cy="1679839"/>
            <wp:effectExtent l="0" t="0" r="0" b="0"/>
            <wp:docPr id="1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6EBF" w:rsidRDefault="00194338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2013 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жылғы қазанда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инфляция 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жылдық көрсетуде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4,9% (2012 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>жылғы желтоқсанда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6,0%)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болды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Азық-түлік тауарлары соңғы 12 айда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3,3% (5,3%), </w:t>
      </w:r>
      <w:r w:rsidR="00E26002"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азық-түлікке жатпайтын тауарлар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2,9% (3,5%), 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>ақылы қызмет көрсету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– 8,9% (9,3%)</w:t>
      </w:r>
      <w:r w:rsid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қымбаттады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555D1A" w:rsidRDefault="00555D1A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26002" w:rsidRPr="00FA6EBF" w:rsidRDefault="00E26002" w:rsidP="00E26002">
      <w:pPr>
        <w:pStyle w:val="a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val="kk-KZ" w:eastAsia="ru-RU"/>
        </w:rPr>
        <w:t xml:space="preserve">Төлем балансы </w:t>
      </w:r>
      <w:r w:rsidRPr="00FA6EB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val="kk-KZ" w:eastAsia="ru-RU"/>
        </w:rPr>
        <w:t>алдын ала нәтиже</w:t>
      </w:r>
      <w:r w:rsidRPr="00FA6EB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) </w:t>
      </w:r>
    </w:p>
    <w:p w:rsidR="00E26002" w:rsidRPr="00AA2907" w:rsidRDefault="00E26002" w:rsidP="00E260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Төлем балансының алдын ала бағалауы бойынша ағымдағы жылғы 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>профицит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2013 жылғы 9 айда 2012 жылғы 9 айдың осындай көрсеткішімен салыстырғанда 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>3,5 млрд.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АҚШ </w:t>
      </w:r>
      <w:r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долл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арынан </w:t>
      </w:r>
      <w:r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153 млн.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>долл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арына дейін қысқарды</w:t>
      </w:r>
      <w:r w:rsidRPr="00AA290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</w:p>
    <w:p w:rsidR="00E26002" w:rsidRDefault="00E26002" w:rsidP="00E260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Ағымдағы операциялар шотының нашарлауы сауда балансының оң сальдосының үнемі қысқаруымен байланысты. Тауарлар экспорты </w:t>
      </w:r>
      <w:r w:rsidRPr="00C44EFA">
        <w:rPr>
          <w:rFonts w:ascii="Times New Roman" w:eastAsia="Times New Roman" w:hAnsi="Times New Roman"/>
          <w:sz w:val="24"/>
          <w:szCs w:val="24"/>
          <w:lang w:val="kk-KZ" w:eastAsia="ru-RU"/>
        </w:rPr>
        <w:t>7,0%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-ға ұлғайған және олардың импорты </w:t>
      </w:r>
      <w:r w:rsidRPr="00C44EFA">
        <w:rPr>
          <w:rFonts w:ascii="Times New Roman" w:eastAsia="Times New Roman" w:hAnsi="Times New Roman"/>
          <w:sz w:val="24"/>
          <w:szCs w:val="24"/>
          <w:lang w:val="kk-KZ" w:eastAsia="ru-RU"/>
        </w:rPr>
        <w:t>6,2%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-ға ұлғайған кезде сауда балансының </w:t>
      </w:r>
      <w:r w:rsidRPr="00C44EFA">
        <w:rPr>
          <w:rFonts w:ascii="Times New Roman" w:eastAsia="Times New Roman" w:hAnsi="Times New Roman"/>
          <w:sz w:val="24"/>
          <w:szCs w:val="24"/>
          <w:lang w:val="kk-KZ" w:eastAsia="ru-RU"/>
        </w:rPr>
        <w:t>профицит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і </w:t>
      </w:r>
      <w:r w:rsidRPr="00C44EFA">
        <w:rPr>
          <w:rFonts w:ascii="Times New Roman" w:eastAsia="Times New Roman" w:hAnsi="Times New Roman"/>
          <w:sz w:val="24"/>
          <w:szCs w:val="24"/>
          <w:lang w:val="kk-KZ" w:eastAsia="ru-RU"/>
        </w:rPr>
        <w:t>21,0%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-ға</w:t>
      </w:r>
      <w:r w:rsidRPr="00C44EF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25,1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C44EFA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2012 жылғы 9 айда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31,8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долл.)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дейін төмендеді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. Brent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сұрыпты мұнайдың орташа әлемдік бағасының ағымдағы жылғы 9 айдағы деңгейі бір баррель үшін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108,7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құрады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бұл оның 2012 жылғы 9 айдағы деңгейінен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3,4%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-ға аз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бір баррель үшін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112,5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долл.).  </w:t>
      </w:r>
    </w:p>
    <w:p w:rsidR="00E26002" w:rsidRPr="00E26002" w:rsidRDefault="00E26002" w:rsidP="00E260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Бастапқы кірістердің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18,6 млрд.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АҚШ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болатын теріс сальдосы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көбіне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резидент еместерге тікелей инвестициялардан түскен кірістерді төлеудің 2012 жылғы 9 айдағы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19,2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>долл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арынан 2013 жылғы 9 айда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16,8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>долл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арына дейін қысқаруы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>(12,1%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-ға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есебінен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>14,6%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-ға қысқарды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Ағымдағы шоттың қалған құрамдас бөліктері бойынша халықаралық қызметтердің және қосалқы кірістердің теріс дисбалансы тиісінше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5,2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F13BD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долл.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және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1,1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құрады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</w:p>
    <w:p w:rsidR="00E26002" w:rsidRDefault="00E26002" w:rsidP="00E260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Алдын ала бағалау бойынша қаржылық шот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резервтік активтерді есептемегенде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1,0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долл.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болатын тапшылықпен қалыптасты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2012 жылғы 9 айдағы оң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сальдо 0,5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долл.).</w:t>
      </w:r>
    </w:p>
    <w:p w:rsidR="00E26002" w:rsidRPr="00632814" w:rsidRDefault="00E26002" w:rsidP="00E260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Шетелдік таза инвестициялар бойынша міндеттемелерді таза қабылдау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>6,6 млрд.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АҚШ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>долл., 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л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қаржы активтерін таза иелену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1,4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долл.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құрады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Нәтижесінде тікелей инвестициялау операциялары бойынша теріс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дисбаланс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2012 жылғы 9 айдағы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10,7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>долл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арынан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5,2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>долл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арына дейін төмендеді.</w:t>
      </w:r>
    </w:p>
    <w:p w:rsidR="00E26002" w:rsidRPr="00E26002" w:rsidRDefault="00E26002" w:rsidP="00E260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Портфельдік инвестициялар бойынша оң сальдо портфельдік инвестициялар бойынша активтер өсімінің олар бойынша міндеттемелер өсімінен асып кетуі салдарынан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2,5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құрады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5,4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болатын активтерді таза сатып алу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(актив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тердің өсімі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Ұлттық қордың шетелдік активтерін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4,7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өсірумен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сондай-ақ банктердің портфелінде резидент еместер шығарған борыштық бағалы қағаздардың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0,6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долл.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ұлғаюымен қамтамасыз етілді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Портфельдік инвестициялар бойынша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2,9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болатын міндеттемелерді таза қабылдау (міндеттемелердің өсімі) банктік емес сектор кәсіпорындарының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4,1 млрд.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АҚШ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сомасына жаңадан борыштық бағалы қағаздарды шығаруымен және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1,4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мөлшеріндегі</w:t>
      </w:r>
      <w:r w:rsidRPr="0063281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бұрын шығарылған ұзақ мерзімді облигацияларды өтеумен байланысты болды. </w:t>
      </w:r>
    </w:p>
    <w:p w:rsidR="00E26002" w:rsidRPr="00FA6EBF" w:rsidRDefault="00E26002" w:rsidP="00E260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Банктердің операциялары бойынша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4,3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долл.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болатын оң баланс қалыптасты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Бұл ретте банктердің сыртқы активтерінің 2013 жылғы 9 айда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2,2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долл.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құраған өсімі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қаржы активтерін таза иелену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),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көбіне, банктердің шетелдік шоттардағы активтерінің ұлғаюымен байланысты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Банктердің сыртқы міндеттемелері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міндеттемелерді таза қабылдау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негізінен, несиелер мен қарыздар бойынша міндеттемелерді өтеу есебінен </w:t>
      </w:r>
      <w:r w:rsidRPr="00E260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2,0 млрд.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АҚШ </w:t>
      </w:r>
      <w:r w:rsidRPr="00FA6EBF">
        <w:rPr>
          <w:rFonts w:ascii="Times New Roman" w:eastAsia="Times New Roman" w:hAnsi="Times New Roman"/>
          <w:sz w:val="24"/>
          <w:szCs w:val="24"/>
          <w:lang w:eastAsia="ru-RU"/>
        </w:rPr>
        <w:t xml:space="preserve">долл.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қысқарды. </w:t>
      </w:r>
    </w:p>
    <w:p w:rsidR="00555D1A" w:rsidRDefault="00555D1A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55D1A" w:rsidRPr="0017242A" w:rsidRDefault="00555D1A" w:rsidP="00555D1A">
      <w:pPr>
        <w:pStyle w:val="1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8A4416">
        <w:rPr>
          <w:rFonts w:ascii="Times New Roman" w:hAnsi="Times New Roman"/>
          <w:b/>
          <w:bCs/>
          <w:sz w:val="24"/>
          <w:szCs w:val="24"/>
          <w:lang w:val="kk-KZ" w:eastAsia="ru-RU"/>
        </w:rPr>
        <w:t>Халықаралық резервтер мен ақша агрегаттары</w:t>
      </w:r>
      <w:r w:rsidRPr="0017242A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555D1A" w:rsidRPr="008A4416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2013 жылғы қазанда Ұлттық Банктің халықаралық резервтері азайды</w:t>
      </w:r>
      <w:r w:rsidRPr="0017242A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Ұлттық Банктің жалпы халықаралық резервтері 2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АҚШ долл.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азайды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16,2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төмендеді). Ұлттық Банктің таза халықаралық резервтері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2,0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азайып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 2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АҚШ долл. құрады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16,2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%-ға төмендеді). Ішкі валюта нарығында валютаны сат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у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Үкіметтің сыртқы борышына қызмет көрсету, Ұлттық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lastRenderedPageBreak/>
        <w:t xml:space="preserve">қордың активтерін толықтыру,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банктердің Ұлттық Банкте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гі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шетел валютасындағы корреспонденттік шоттарындағы қалдықтар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д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ың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ұлғаюымен және Үкіметтің Ұлттық Банктегі шоттарына валютаның келіп түсуімен ішінара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бейтараптандырылды. Нәтижесінде 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таза валюта қорлары (ЕАВ)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3,2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%-ға төмендеді, алтындағы активтер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оның әлем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дік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нарықтарда бағасының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шамалы төмендеуі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салдарынан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1,6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өсті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. </w:t>
      </w:r>
    </w:p>
    <w:p w:rsidR="00555D1A" w:rsidRPr="008A4416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елдің халықаралық резервтері, жалпы алғанда, Ұлттық қордың шетел валютасындағы активтерін қоса алғанда (алдын ала деректер бойынша 6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АҚШ долл.)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АҚШ долларына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1,8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ұлғайды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7,3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%-ға өсті).</w:t>
      </w:r>
    </w:p>
    <w:p w:rsidR="00555D1A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ақша базасы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0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тарылып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 </w:t>
      </w:r>
      <w:r w:rsidRPr="00D97DC9">
        <w:rPr>
          <w:rFonts w:ascii="Times New Roman" w:hAnsi="Times New Roman"/>
          <w:snapToGrid w:val="0"/>
          <w:sz w:val="24"/>
          <w:szCs w:val="24"/>
          <w:lang w:val="kk-KZ" w:eastAsia="ru-RU"/>
        </w:rPr>
        <w:t>2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776</w:t>
      </w:r>
      <w:r w:rsidRPr="00D97DC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теңге болды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тарылды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). Тар ақша базасы, яғни екінші деңгейдегі банктердің Ұлттық Банктегі мерзімді депозиттерін есептемегендегі ақша базасы </w:t>
      </w:r>
      <w:r w:rsidRPr="00D97DC9">
        <w:rPr>
          <w:rFonts w:ascii="Times New Roman" w:hAnsi="Times New Roman"/>
          <w:snapToGrid w:val="0"/>
          <w:sz w:val="24"/>
          <w:szCs w:val="24"/>
          <w:lang w:val="kk-KZ" w:eastAsia="ru-RU"/>
        </w:rPr>
        <w:t>27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45</w:t>
      </w:r>
      <w:r w:rsidRPr="00D97DC9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,3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млрд. теңгеге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0,3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тарылды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.</w:t>
      </w:r>
    </w:p>
    <w:p w:rsidR="00555D1A" w:rsidRPr="008A4416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қыркүйекте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ақша массасы </w:t>
      </w:r>
      <w:r w:rsidRPr="00D97DC9">
        <w:rPr>
          <w:rFonts w:ascii="Times New Roman" w:hAnsi="Times New Roman"/>
          <w:snapToGrid w:val="0"/>
          <w:sz w:val="24"/>
          <w:szCs w:val="24"/>
          <w:lang w:val="kk-KZ" w:eastAsia="ru-RU"/>
        </w:rPr>
        <w:t>11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558</w:t>
      </w:r>
      <w:r w:rsidRPr="00D97DC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теңгеге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1,8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ұлғайды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9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8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%-ға өсті), айналыстағы қолма-қол ақшаның көлемі 1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453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6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теңгеге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1,0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төмендеді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4,9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төмендеді),  банк жүйесіндегі депозиттер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10104</w:t>
      </w:r>
      <w:r w:rsidRPr="00D97DC9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млрд. теңгеге дейін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2,2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өсті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(жыл басынан бері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12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өсті). Ақша массасының құрылымындағы депозиттердің үлесі айналыстағы қолма-қол ақша көлемінің қысқаруы аясында депозиттер көлемінің өсуі салдарынан 2012 жылғы желтоқсандағы 85,5%-дан 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қыркүйекте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8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%-ға дейін ұлғайды.</w:t>
      </w:r>
    </w:p>
    <w:p w:rsidR="00555D1A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Ақша мультипликаторы 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қаңтар-қыркүйекте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тіркелген ақша базасының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тарылу аясында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ақша массасының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өсуі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салдарынан 2012 жылғы желтоқсандағы 3,64-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т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ен 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қыркүйектің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қорытынды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сы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бойынша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4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15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-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ге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дейін өсті.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</w:p>
    <w:p w:rsidR="00555D1A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 w:eastAsia="ru-RU"/>
        </w:rPr>
      </w:pPr>
    </w:p>
    <w:p w:rsidR="00555D1A" w:rsidRPr="00D0699F" w:rsidRDefault="00555D1A" w:rsidP="00555D1A">
      <w:pPr>
        <w:pStyle w:val="1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 xml:space="preserve">4. </w:t>
      </w:r>
      <w:r w:rsidRPr="00D0699F"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>Валют</w:t>
      </w:r>
      <w:r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>а нарығы</w:t>
      </w:r>
      <w:r w:rsidRPr="00D0699F"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 xml:space="preserve"> </w:t>
      </w:r>
    </w:p>
    <w:p w:rsidR="00555D1A" w:rsidRPr="008A4416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теңгенің АҚШ долларына қатысты бағамы 1 АҚШ доллары үшін </w:t>
      </w:r>
      <w:r w:rsidRPr="00D0699F">
        <w:rPr>
          <w:rFonts w:ascii="Times New Roman" w:hAnsi="Times New Roman"/>
          <w:sz w:val="24"/>
          <w:szCs w:val="24"/>
          <w:lang w:val="kk-KZ" w:eastAsia="ru-RU"/>
        </w:rPr>
        <w:t>15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D0699F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52</w:t>
      </w:r>
      <w:r w:rsidRPr="00D0699F">
        <w:rPr>
          <w:rFonts w:ascii="Times New Roman" w:hAnsi="Times New Roman"/>
          <w:sz w:val="24"/>
          <w:szCs w:val="24"/>
          <w:lang w:val="kk-KZ" w:eastAsia="ru-RU"/>
        </w:rPr>
        <w:t>–15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D0699F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D0699F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теңге аралығында өзгерді. Айдың соңында теңгенің  биржалық бағамы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бір айда 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0,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төмендеп 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(</w:t>
      </w:r>
      <w:r>
        <w:rPr>
          <w:rFonts w:ascii="Times New Roman" w:hAnsi="Times New Roman"/>
          <w:sz w:val="24"/>
          <w:szCs w:val="24"/>
          <w:lang w:val="kk-KZ" w:eastAsia="ru-RU"/>
        </w:rPr>
        <w:t>жыл басынан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–2,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әлсіреу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)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,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бір АҚШ доллары үшін </w:t>
      </w:r>
      <w:r w:rsidRPr="00832FEA">
        <w:rPr>
          <w:rFonts w:ascii="Times New Roman" w:hAnsi="Times New Roman"/>
          <w:sz w:val="24"/>
          <w:szCs w:val="24"/>
          <w:lang w:val="kk-KZ" w:eastAsia="ru-RU"/>
        </w:rPr>
        <w:t>15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832FEA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23</w:t>
      </w:r>
      <w:r w:rsidRPr="00832FEA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теңге болды.</w:t>
      </w:r>
    </w:p>
    <w:p w:rsidR="00555D1A" w:rsidRPr="005D25CC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қосымша сауда-саттықтардағы мәмілелерді қоса алғанда, Қазақстан қор биржасындағы биржалық операциялардың көлемі 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қыркүйекпен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салыстырғанда </w:t>
      </w:r>
      <w:r>
        <w:rPr>
          <w:rFonts w:ascii="Times New Roman" w:hAnsi="Times New Roman"/>
          <w:sz w:val="24"/>
          <w:szCs w:val="24"/>
          <w:lang w:val="kk-KZ" w:eastAsia="ru-RU"/>
        </w:rPr>
        <w:t>23,3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z w:val="24"/>
          <w:szCs w:val="24"/>
          <w:lang w:val="kk-KZ" w:eastAsia="ru-RU"/>
        </w:rPr>
        <w:t>ұлғайып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kk-KZ" w:eastAsia="ru-RU"/>
        </w:rPr>
        <w:t>4,8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млрд. АҚШ долл. </w:t>
      </w:r>
      <w:r>
        <w:rPr>
          <w:rFonts w:ascii="Times New Roman" w:hAnsi="Times New Roman"/>
          <w:sz w:val="24"/>
          <w:szCs w:val="24"/>
          <w:lang w:val="kk-KZ" w:eastAsia="ru-RU"/>
        </w:rPr>
        <w:t>( жыл басынан бастап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– 4</w:t>
      </w:r>
      <w:r>
        <w:rPr>
          <w:rFonts w:ascii="Times New Roman" w:hAnsi="Times New Roman"/>
          <w:sz w:val="24"/>
          <w:szCs w:val="24"/>
          <w:lang w:val="kk-KZ" w:eastAsia="ru-RU"/>
        </w:rPr>
        <w:t>5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8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млрд.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АҚШ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долл.</w:t>
      </w:r>
      <w:r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C5705E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болды. Биржадан тыс валюта нарығында операциялардың көлемі </w:t>
      </w:r>
      <w:r w:rsidR="00337A39">
        <w:rPr>
          <w:rFonts w:ascii="Times New Roman" w:hAnsi="Times New Roman"/>
          <w:sz w:val="24"/>
          <w:szCs w:val="24"/>
          <w:lang w:val="kk-KZ" w:eastAsia="ru-RU"/>
        </w:rPr>
        <w:t>2</w:t>
      </w:r>
      <w:r w:rsidR="00337A39" w:rsidRPr="005D25CC">
        <w:rPr>
          <w:rFonts w:ascii="Times New Roman" w:hAnsi="Times New Roman"/>
          <w:sz w:val="24"/>
          <w:szCs w:val="24"/>
          <w:lang w:val="kk-KZ" w:eastAsia="ru-RU"/>
        </w:rPr>
        <w:t>,</w:t>
      </w:r>
      <w:r w:rsidR="00337A39">
        <w:rPr>
          <w:rFonts w:ascii="Times New Roman" w:hAnsi="Times New Roman"/>
          <w:sz w:val="24"/>
          <w:szCs w:val="24"/>
          <w:lang w:val="kk-KZ" w:eastAsia="ru-RU"/>
        </w:rPr>
        <w:t>0</w:t>
      </w:r>
      <w:r w:rsidR="00337A39" w:rsidRPr="005D25CC">
        <w:rPr>
          <w:rFonts w:ascii="Times New Roman" w:hAnsi="Times New Roman"/>
          <w:sz w:val="24"/>
          <w:szCs w:val="24"/>
          <w:lang w:val="kk-KZ" w:eastAsia="ru-RU"/>
        </w:rPr>
        <w:t xml:space="preserve"> млрд. </w:t>
      </w:r>
      <w:r w:rsidR="00337A39">
        <w:rPr>
          <w:rFonts w:ascii="Times New Roman" w:hAnsi="Times New Roman"/>
          <w:sz w:val="24"/>
          <w:szCs w:val="24"/>
          <w:lang w:val="kk-KZ" w:eastAsia="ru-RU"/>
        </w:rPr>
        <w:t xml:space="preserve">АҚШ </w:t>
      </w:r>
      <w:r w:rsidR="00337A39" w:rsidRPr="005D25CC">
        <w:rPr>
          <w:rFonts w:ascii="Times New Roman" w:hAnsi="Times New Roman"/>
          <w:sz w:val="24"/>
          <w:szCs w:val="24"/>
          <w:lang w:val="kk-KZ" w:eastAsia="ru-RU"/>
        </w:rPr>
        <w:t>долл.</w:t>
      </w:r>
      <w:r w:rsidR="00337A39">
        <w:rPr>
          <w:rFonts w:ascii="Times New Roman" w:hAnsi="Times New Roman"/>
          <w:sz w:val="24"/>
          <w:szCs w:val="24"/>
          <w:lang w:val="kk-KZ" w:eastAsia="ru-RU"/>
        </w:rPr>
        <w:t xml:space="preserve"> дейін</w:t>
      </w:r>
      <w:r w:rsidR="00337A39" w:rsidRPr="005D25CC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15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kk-KZ" w:eastAsia="ru-RU"/>
        </w:rPr>
        <w:t>жыл басынан  бастап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– 1</w:t>
      </w:r>
      <w:r>
        <w:rPr>
          <w:rFonts w:ascii="Times New Roman" w:hAnsi="Times New Roman"/>
          <w:sz w:val="24"/>
          <w:szCs w:val="24"/>
          <w:lang w:val="kk-KZ" w:eastAsia="ru-RU"/>
        </w:rPr>
        <w:t>7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7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млрд.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АҚШ долл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.)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өсті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555D1A" w:rsidRDefault="00555D1A" w:rsidP="00555D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val="kk-KZ" w:eastAsia="ru-RU"/>
        </w:rPr>
        <w:t>Жалпы алғанда</w:t>
      </w:r>
      <w:r>
        <w:rPr>
          <w:rFonts w:ascii="Times New Roman" w:hAnsi="Times New Roman"/>
          <w:sz w:val="24"/>
          <w:szCs w:val="24"/>
          <w:lang w:val="kk-KZ" w:eastAsia="ru-RU"/>
        </w:rPr>
        <w:t>,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ішкі валюта нарығындағы операциялардың көлемі </w:t>
      </w:r>
      <w:r>
        <w:rPr>
          <w:rFonts w:ascii="Times New Roman" w:hAnsi="Times New Roman"/>
          <w:sz w:val="24"/>
          <w:szCs w:val="24"/>
          <w:lang w:val="kk-KZ" w:eastAsia="ru-RU"/>
        </w:rPr>
        <w:t>2013 жылғы  қыркүйекпен салыстырғанда 20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8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z w:val="24"/>
          <w:szCs w:val="24"/>
          <w:lang w:val="kk-KZ" w:eastAsia="ru-RU"/>
        </w:rPr>
        <w:t>ұлғайып, 6,8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млрд. АҚШ долл. </w:t>
      </w:r>
      <w:r>
        <w:rPr>
          <w:rFonts w:ascii="Times New Roman" w:hAnsi="Times New Roman"/>
          <w:sz w:val="24"/>
          <w:szCs w:val="24"/>
          <w:lang w:val="kk-KZ" w:eastAsia="ru-RU"/>
        </w:rPr>
        <w:t>(жыл басынан бастап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val="kk-KZ" w:eastAsia="ru-RU"/>
        </w:rPr>
        <w:t>63,4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 xml:space="preserve"> млрд.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АҚШ долл</w:t>
      </w:r>
      <w:r w:rsidRPr="005D25CC">
        <w:rPr>
          <w:rFonts w:ascii="Times New Roman" w:hAnsi="Times New Roman"/>
          <w:sz w:val="24"/>
          <w:szCs w:val="24"/>
          <w:lang w:val="kk-KZ" w:eastAsia="ru-RU"/>
        </w:rPr>
        <w:t>.)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болды. </w:t>
      </w:r>
    </w:p>
    <w:p w:rsidR="00A66EAB" w:rsidRDefault="00A66EAB" w:rsidP="00555D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7E6259" w:rsidRPr="00A66EAB" w:rsidRDefault="007E6259" w:rsidP="00A66EAB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A66EAB"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  <w:t>Мемлекеттік бағалы қағаздар нарығы</w:t>
      </w:r>
    </w:p>
    <w:p w:rsidR="00A66EAB" w:rsidRPr="00A66EAB" w:rsidRDefault="00A66EAB" w:rsidP="00A66EAB">
      <w:pPr>
        <w:pStyle w:val="a5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b/>
          <w:snapToGrid w:val="0"/>
          <w:sz w:val="24"/>
          <w:szCs w:val="24"/>
          <w:lang w:val="kk-KZ" w:eastAsia="ru-RU"/>
        </w:rPr>
      </w:pPr>
    </w:p>
    <w:p w:rsidR="007E6259" w:rsidRPr="008A4416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қазанда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Қаржы министрлігінің мемлекеттік бағалы қағаздарын орналастыру бойынша </w:t>
      </w:r>
      <w:r>
        <w:rPr>
          <w:rFonts w:ascii="Times New Roman" w:hAnsi="Times New Roman"/>
          <w:sz w:val="24"/>
          <w:szCs w:val="24"/>
          <w:lang w:val="kk-KZ" w:eastAsia="ru-RU"/>
        </w:rPr>
        <w:t>5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аукцион өткізілді. Онда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12 айлық МЕККАМ (12,8 млрд. теңге), </w:t>
      </w:r>
      <w:r w:rsidR="00337A39">
        <w:rPr>
          <w:rFonts w:ascii="Times New Roman" w:hAnsi="Times New Roman"/>
          <w:sz w:val="24"/>
          <w:szCs w:val="24"/>
          <w:lang w:val="kk-KZ" w:eastAsia="ru-RU"/>
        </w:rPr>
        <w:t xml:space="preserve">            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9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МЕУКАМ (10,2 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ге), 10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МЕУКАМ (11,1 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ге), 13-</w:t>
      </w:r>
      <w:r>
        <w:rPr>
          <w:rFonts w:ascii="Times New Roman" w:hAnsi="Times New Roman"/>
          <w:sz w:val="24"/>
          <w:szCs w:val="24"/>
          <w:lang w:val="kk-KZ" w:eastAsia="ru-RU"/>
        </w:rPr>
        <w:t>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МЕУКАМ (22,0 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ге), 9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МЕУЖКАМ (78,9 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ге)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орналастырылды.</w:t>
      </w:r>
    </w:p>
    <w:p w:rsidR="007E6259" w:rsidRPr="008A4416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Орналастырылған бағалы қағаздар бойынша тиімді кірістілік: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12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айлық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МЕККАМ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бойынша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– 3,00%, 9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МЕУКАМ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бойынша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– 6,00%, 10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МЕУКАМ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бойынша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–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6,44%,  13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МЕУКАМ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бойынша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– 6,80%, 9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жылдық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МЕУЖКАМ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бойынша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–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инфляция деңгейінен 0,01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 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>құрады.</w:t>
      </w:r>
    </w:p>
    <w:p w:rsidR="007E6259" w:rsidRPr="008A4416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val="kk-KZ" w:eastAsia="ru-RU"/>
        </w:rPr>
        <w:lastRenderedPageBreak/>
        <w:t xml:space="preserve">Қаржы министрлігінің айналыстағы бағалы қағаздарының көлемі </w:t>
      </w:r>
      <w:r>
        <w:rPr>
          <w:rFonts w:ascii="Times New Roman" w:hAnsi="Times New Roman"/>
          <w:sz w:val="24"/>
          <w:szCs w:val="24"/>
          <w:lang w:val="kk-KZ" w:eastAsia="ru-RU"/>
        </w:rPr>
        <w:t>алдыңғы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аймен салыстырғанда </w:t>
      </w:r>
      <w:r>
        <w:rPr>
          <w:rFonts w:ascii="Times New Roman" w:hAnsi="Times New Roman"/>
          <w:sz w:val="24"/>
          <w:szCs w:val="24"/>
          <w:lang w:val="kk-KZ" w:eastAsia="ru-RU"/>
        </w:rPr>
        <w:t>2,5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 ұлғая отырып, 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қазан</w:t>
      </w:r>
      <w:r w:rsidR="00337A39">
        <w:rPr>
          <w:rFonts w:ascii="Times New Roman" w:hAnsi="Times New Roman"/>
          <w:sz w:val="24"/>
          <w:szCs w:val="24"/>
          <w:lang w:val="kk-KZ" w:eastAsia="ru-RU"/>
        </w:rPr>
        <w:t>ның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аяғында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3386,3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млрд. теңге құрады.</w:t>
      </w:r>
    </w:p>
    <w:p w:rsidR="007E6259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p w:rsidR="007E6259" w:rsidRPr="00CE6F6B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kk-KZ" w:eastAsia="ru-RU"/>
        </w:rPr>
      </w:pPr>
      <w:r w:rsidRPr="00173FF6">
        <w:rPr>
          <w:rFonts w:ascii="Times New Roman" w:hAnsi="Times New Roman"/>
          <w:b/>
          <w:bCs/>
          <w:i/>
          <w:iCs/>
          <w:sz w:val="24"/>
          <w:szCs w:val="24"/>
          <w:lang w:val="kk-KZ" w:eastAsia="ru-RU"/>
        </w:rPr>
        <w:t>Қазақстан Ұлттық Банкінің қысқа мерзімді ноттары</w:t>
      </w:r>
      <w:r w:rsidRPr="00CE6F6B">
        <w:rPr>
          <w:rFonts w:ascii="Times New Roman" w:hAnsi="Times New Roman"/>
          <w:b/>
          <w:i/>
          <w:sz w:val="24"/>
          <w:szCs w:val="24"/>
          <w:lang w:val="kk-KZ" w:eastAsia="ru-RU"/>
        </w:rPr>
        <w:t xml:space="preserve">. </w:t>
      </w:r>
    </w:p>
    <w:p w:rsidR="007E6259" w:rsidRPr="00375D5D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2013 жылғы қазанда Ұлттық Банктің 3 айлық ноттарын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орналастыру бойынша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1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аукцион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өткізілді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Эмиссияның көлемі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2,0 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ге (</w:t>
      </w:r>
      <w:r>
        <w:rPr>
          <w:rFonts w:ascii="Times New Roman" w:hAnsi="Times New Roman"/>
          <w:sz w:val="24"/>
          <w:szCs w:val="24"/>
          <w:lang w:val="kk-KZ" w:eastAsia="ru-RU"/>
        </w:rPr>
        <w:t>тиімді кірістілігі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– 2,17%)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құрады.</w:t>
      </w:r>
    </w:p>
    <w:p w:rsidR="007E6259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А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йналыстағы ноттардың көлемі 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қыркүйекпен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салыстырғанда 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қазанның аяғында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55,7</w:t>
      </w:r>
      <w:r w:rsidRPr="008A4416">
        <w:rPr>
          <w:rFonts w:ascii="Times New Roman" w:hAnsi="Times New Roman"/>
          <w:snapToGrid w:val="0"/>
          <w:sz w:val="24"/>
          <w:szCs w:val="24"/>
          <w:lang w:val="kk-KZ" w:eastAsia="ru-RU"/>
        </w:rPr>
        <w:t xml:space="preserve">% қысқарып, </w:t>
      </w:r>
      <w:r>
        <w:rPr>
          <w:rFonts w:ascii="Times New Roman" w:hAnsi="Times New Roman"/>
          <w:snapToGrid w:val="0"/>
          <w:sz w:val="24"/>
          <w:szCs w:val="24"/>
          <w:lang w:val="kk-KZ" w:eastAsia="ru-RU"/>
        </w:rPr>
        <w:t>7</w:t>
      </w:r>
      <w:r w:rsidRPr="008A4416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3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млрд. теңге құрады.</w:t>
      </w:r>
    </w:p>
    <w:p w:rsidR="007E6259" w:rsidRPr="00D539A4" w:rsidRDefault="007E6259" w:rsidP="007E6259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napToGrid w:val="0"/>
          <w:sz w:val="24"/>
          <w:szCs w:val="24"/>
          <w:highlight w:val="yellow"/>
          <w:lang w:val="kk-KZ" w:eastAsia="ru-RU"/>
        </w:rPr>
      </w:pPr>
    </w:p>
    <w:p w:rsidR="007E6259" w:rsidRPr="00337A39" w:rsidRDefault="007E6259" w:rsidP="00337A39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337A39">
        <w:rPr>
          <w:rFonts w:ascii="Times New Roman" w:hAnsi="Times New Roman"/>
          <w:b/>
          <w:bCs/>
          <w:snapToGrid w:val="0"/>
          <w:sz w:val="24"/>
          <w:szCs w:val="24"/>
          <w:lang w:val="kk-KZ" w:eastAsia="ru-RU"/>
        </w:rPr>
        <w:t>Банкаралық ақша нарығы</w:t>
      </w:r>
      <w:r w:rsidRPr="00337A39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:rsidR="007E6259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eastAsia="ru-RU"/>
        </w:rPr>
        <w:t>201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A4416">
        <w:rPr>
          <w:rFonts w:ascii="Times New Roman" w:hAnsi="Times New Roman"/>
          <w:sz w:val="24"/>
          <w:szCs w:val="24"/>
          <w:lang w:eastAsia="ru-RU"/>
        </w:rPr>
        <w:t>жылғы</w:t>
      </w:r>
      <w:proofErr w:type="spellEnd"/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қыркүйекте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орналастырылған банкаралық депозиттердің жалпы көлемі </w:t>
      </w:r>
      <w:r>
        <w:rPr>
          <w:rFonts w:ascii="Times New Roman" w:hAnsi="Times New Roman"/>
          <w:sz w:val="24"/>
          <w:szCs w:val="24"/>
          <w:lang w:val="kk-KZ"/>
        </w:rPr>
        <w:t>2013 жылғы тамызбен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салыстырғанда </w:t>
      </w:r>
      <w:r>
        <w:rPr>
          <w:rFonts w:ascii="Times New Roman" w:hAnsi="Times New Roman"/>
          <w:sz w:val="24"/>
          <w:szCs w:val="24"/>
          <w:lang w:val="kk-KZ" w:eastAsia="ru-RU"/>
        </w:rPr>
        <w:t>11</w:t>
      </w:r>
      <w:r w:rsidRPr="00931186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5</w:t>
      </w:r>
      <w:r w:rsidRPr="008A4416">
        <w:rPr>
          <w:rFonts w:ascii="Times New Roman" w:hAnsi="Times New Roman"/>
          <w:sz w:val="24"/>
          <w:szCs w:val="24"/>
          <w:lang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азайып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, баламасында </w:t>
      </w:r>
      <w:r>
        <w:rPr>
          <w:rFonts w:ascii="Times New Roman" w:hAnsi="Times New Roman"/>
          <w:sz w:val="24"/>
          <w:szCs w:val="24"/>
          <w:lang w:eastAsia="ru-RU"/>
        </w:rPr>
        <w:t>1679,8</w:t>
      </w:r>
      <w:r w:rsidRPr="00931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млрд. </w:t>
      </w:r>
      <w:proofErr w:type="spellStart"/>
      <w:r w:rsidRPr="008A4416">
        <w:rPr>
          <w:rFonts w:ascii="Times New Roman" w:hAnsi="Times New Roman"/>
          <w:sz w:val="24"/>
          <w:szCs w:val="24"/>
          <w:lang w:eastAsia="ru-RU"/>
        </w:rPr>
        <w:t>теңге</w:t>
      </w:r>
      <w:proofErr w:type="spellEnd"/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  <w:r w:rsidRPr="0093118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E6259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Теңгемен орналастырылған банкаралық депозиттердің көлемі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32,4</w:t>
      </w:r>
      <w:r w:rsidRPr="00CE6F6B">
        <w:rPr>
          <w:rFonts w:ascii="Times New Roman" w:hAnsi="Times New Roman"/>
          <w:sz w:val="24"/>
          <w:szCs w:val="24"/>
          <w:lang w:val="kk-KZ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>-ға</w:t>
      </w:r>
      <w:r w:rsidRPr="00CE6F6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төмендеді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103,0 млрд. теңге (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орналастырылған депозиттердің жалпы көлемінің </w:t>
      </w:r>
      <w:r>
        <w:rPr>
          <w:rFonts w:ascii="Times New Roman" w:hAnsi="Times New Roman"/>
          <w:sz w:val="24"/>
          <w:szCs w:val="24"/>
          <w:lang w:val="kk-KZ"/>
        </w:rPr>
        <w:t>6</w:t>
      </w:r>
      <w:r w:rsidRPr="00CE6F6B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CE6F6B">
        <w:rPr>
          <w:rFonts w:ascii="Times New Roman" w:hAnsi="Times New Roman"/>
          <w:sz w:val="24"/>
          <w:szCs w:val="24"/>
          <w:lang w:val="kk-KZ"/>
        </w:rPr>
        <w:t>%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болды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.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Бұл ретте теңгемен орналастырылған банкаралық депозиттер бойынша орташа алынған сыйақы мөлшерлемесі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201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жылғы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қыркүйекте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2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26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-</w:t>
      </w:r>
      <w:r>
        <w:rPr>
          <w:rFonts w:ascii="Times New Roman" w:hAnsi="Times New Roman"/>
          <w:sz w:val="24"/>
          <w:szCs w:val="24"/>
          <w:lang w:val="kk-KZ" w:eastAsia="ru-RU"/>
        </w:rPr>
        <w:t>д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ан 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43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-ға дейін </w:t>
      </w:r>
      <w:r>
        <w:rPr>
          <w:rFonts w:ascii="Times New Roman" w:hAnsi="Times New Roman"/>
          <w:sz w:val="24"/>
          <w:szCs w:val="24"/>
          <w:lang w:val="kk-KZ" w:eastAsia="ru-RU"/>
        </w:rPr>
        <w:t>төмендеді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7E6259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қыркүйекте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/>
        </w:rPr>
        <w:t>доллармен орналастырылған депозиттердің көлемі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тамызбен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салыстырғанда</w:t>
      </w:r>
      <w:r w:rsidRPr="009014C2">
        <w:rPr>
          <w:rFonts w:ascii="Times New Roman" w:hAnsi="Times New Roman"/>
          <w:sz w:val="24"/>
          <w:szCs w:val="24"/>
          <w:lang w:val="kk-KZ" w:eastAsia="ru-RU"/>
        </w:rPr>
        <w:t xml:space="preserve"> 2</w:t>
      </w:r>
      <w:r>
        <w:rPr>
          <w:rFonts w:ascii="Times New Roman" w:hAnsi="Times New Roman"/>
          <w:sz w:val="24"/>
          <w:szCs w:val="24"/>
          <w:lang w:val="kk-KZ" w:eastAsia="ru-RU"/>
        </w:rPr>
        <w:t>0</w:t>
      </w:r>
      <w:r w:rsidRPr="009014C2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9</w:t>
      </w:r>
      <w:r w:rsidRPr="00702DD5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төмендеп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,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8,7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млрд. АҚШ долл. (</w:t>
      </w:r>
      <w:r w:rsidRPr="008A4416">
        <w:rPr>
          <w:rFonts w:ascii="Times New Roman" w:hAnsi="Times New Roman"/>
          <w:sz w:val="24"/>
          <w:szCs w:val="24"/>
          <w:lang w:val="kk-KZ"/>
        </w:rPr>
        <w:t>орналастырылған депозиттердің жалпы көлемінің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79</w:t>
      </w:r>
      <w:r w:rsidRPr="009014C2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8A4416">
        <w:rPr>
          <w:rFonts w:ascii="Times New Roman" w:hAnsi="Times New Roman"/>
          <w:sz w:val="24"/>
          <w:szCs w:val="24"/>
          <w:lang w:val="kk-KZ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) болды. Д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оллармен орналастырылған депозиттер бойынша орташа алынған сыйақы мөлшерлемесі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қыркүйекте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0,0</w:t>
      </w:r>
      <w:r>
        <w:rPr>
          <w:rFonts w:ascii="Times New Roman" w:hAnsi="Times New Roman"/>
          <w:sz w:val="24"/>
          <w:szCs w:val="24"/>
          <w:lang w:val="kk-KZ" w:eastAsia="ru-RU"/>
        </w:rPr>
        <w:t>8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</w:t>
      </w:r>
      <w:r w:rsidR="00C5705E">
        <w:rPr>
          <w:rFonts w:ascii="Times New Roman" w:hAnsi="Times New Roman"/>
          <w:sz w:val="24"/>
          <w:szCs w:val="24"/>
          <w:lang w:val="kk-KZ" w:eastAsia="ru-RU"/>
        </w:rPr>
        <w:t>д</w:t>
      </w:r>
      <w:r>
        <w:rPr>
          <w:rFonts w:ascii="Times New Roman" w:hAnsi="Times New Roman"/>
          <w:sz w:val="24"/>
          <w:szCs w:val="24"/>
          <w:lang w:val="kk-KZ" w:eastAsia="ru-RU"/>
        </w:rPr>
        <w:t>ан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 xml:space="preserve"> 0,</w:t>
      </w:r>
      <w:r>
        <w:rPr>
          <w:rFonts w:ascii="Times New Roman" w:hAnsi="Times New Roman"/>
          <w:sz w:val="24"/>
          <w:szCs w:val="24"/>
          <w:lang w:val="kk-KZ" w:eastAsia="ru-RU"/>
        </w:rPr>
        <w:t>13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дейін өсті.</w:t>
      </w:r>
    </w:p>
    <w:p w:rsidR="007E6259" w:rsidRPr="00CC078E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 xml:space="preserve">2013 жылғы қыркүйекте еуромен орналастырылған депозиттердің көлемі 2013 жылғы тамызбен салыстырғанда 21 есе өсті және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0,9 млрд. е</w:t>
      </w:r>
      <w:r>
        <w:rPr>
          <w:rFonts w:ascii="Times New Roman" w:hAnsi="Times New Roman"/>
          <w:sz w:val="24"/>
          <w:szCs w:val="24"/>
          <w:lang w:val="kk-KZ" w:eastAsia="ru-RU"/>
        </w:rPr>
        <w:t>у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ро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(</w:t>
      </w:r>
      <w:r w:rsidRPr="008A4416">
        <w:rPr>
          <w:rFonts w:ascii="Times New Roman" w:hAnsi="Times New Roman"/>
          <w:sz w:val="24"/>
          <w:szCs w:val="24"/>
          <w:lang w:val="kk-KZ"/>
        </w:rPr>
        <w:t>орналастырылған депозиттердің жалпы көлемінің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11</w:t>
      </w:r>
      <w:r w:rsidRPr="009014C2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8A4416">
        <w:rPr>
          <w:rFonts w:ascii="Times New Roman" w:hAnsi="Times New Roman"/>
          <w:sz w:val="24"/>
          <w:szCs w:val="24"/>
          <w:lang w:val="kk-KZ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) болды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. Еуромен орналастырылған депозиттер бойынша сыйақы мөлшерлемесі 2013 жылғы қыркүйекте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0,94%</w:t>
      </w:r>
      <w:r>
        <w:rPr>
          <w:rFonts w:ascii="Times New Roman" w:hAnsi="Times New Roman"/>
          <w:sz w:val="24"/>
          <w:szCs w:val="24"/>
          <w:lang w:val="kk-KZ" w:eastAsia="ru-RU"/>
        </w:rPr>
        <w:t>-дан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 xml:space="preserve"> 0,14%</w:t>
      </w:r>
      <w:r>
        <w:rPr>
          <w:rFonts w:ascii="Times New Roman" w:hAnsi="Times New Roman"/>
          <w:sz w:val="24"/>
          <w:szCs w:val="24"/>
          <w:lang w:val="kk-KZ" w:eastAsia="ru-RU"/>
        </w:rPr>
        <w:t>-ға дейін төмендеді.</w:t>
      </w:r>
    </w:p>
    <w:p w:rsidR="007E6259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>Ресей р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ублімен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орналастырылған 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>депозиттер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дің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 көлемі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көп емес 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–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орналастырылған депозиттердің жалпы көлемінен тиісінше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 xml:space="preserve"> 3,</w:t>
      </w:r>
      <w:r>
        <w:rPr>
          <w:rFonts w:ascii="Times New Roman" w:hAnsi="Times New Roman"/>
          <w:sz w:val="24"/>
          <w:szCs w:val="24"/>
          <w:lang w:val="kk-KZ" w:eastAsia="ru-RU"/>
        </w:rPr>
        <w:t>7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</w:p>
    <w:p w:rsidR="007E6259" w:rsidRPr="00CE6F6B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Шетел валютасындағы банкаралық депозиттердің үлесі 2013 жылғы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қыркүйекте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  орналастырылған депозиттердің жалпы көлемін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ен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9</w:t>
      </w:r>
      <w:r>
        <w:rPr>
          <w:rFonts w:ascii="Times New Roman" w:hAnsi="Times New Roman"/>
          <w:sz w:val="24"/>
          <w:szCs w:val="24"/>
          <w:lang w:val="kk-KZ" w:eastAsia="ru-RU"/>
        </w:rPr>
        <w:t>2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0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-дан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9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F54CC7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9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-ға 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дейін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өсті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Ш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>етел валютасы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мен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 резидент емес банктерде орналастырылған депозиттердің үлесі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о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рналастырылған банкаралық депозиттердің жалпы көлемінен 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9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-дан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716FA4">
        <w:rPr>
          <w:rFonts w:ascii="Times New Roman" w:hAnsi="Times New Roman"/>
          <w:sz w:val="24"/>
          <w:szCs w:val="24"/>
          <w:lang w:val="kk-KZ" w:eastAsia="ru-RU"/>
        </w:rPr>
        <w:t>9</w:t>
      </w:r>
      <w:r>
        <w:rPr>
          <w:rFonts w:ascii="Times New Roman" w:hAnsi="Times New Roman"/>
          <w:sz w:val="24"/>
          <w:szCs w:val="24"/>
          <w:lang w:val="kk-KZ" w:eastAsia="ru-RU"/>
        </w:rPr>
        <w:t>2</w:t>
      </w:r>
      <w:r w:rsidRPr="00716FA4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 xml:space="preserve">-ға дейін 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өсті</w:t>
      </w:r>
      <w:r w:rsidRPr="008A4416">
        <w:rPr>
          <w:rFonts w:ascii="Times New Roman" w:hAnsi="Times New Roman"/>
          <w:snapToGrid w:val="0"/>
          <w:sz w:val="24"/>
          <w:szCs w:val="24"/>
          <w:lang w:val="kk-KZ"/>
        </w:rPr>
        <w:t>.</w:t>
      </w:r>
    </w:p>
    <w:p w:rsidR="007E6259" w:rsidRPr="008A4416" w:rsidRDefault="007E6259" w:rsidP="007E6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/>
          <w:sz w:val="24"/>
          <w:szCs w:val="24"/>
          <w:lang w:val="kk-KZ" w:eastAsia="ru-RU"/>
        </w:rPr>
        <w:t>Ұлттық Банк банктерден тартқан депозиттердің көлемі 2013 жылғы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қыркүйекте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2013 жылғы </w:t>
      </w:r>
      <w:r>
        <w:rPr>
          <w:rFonts w:ascii="Times New Roman" w:hAnsi="Times New Roman"/>
          <w:sz w:val="24"/>
          <w:szCs w:val="24"/>
          <w:lang w:val="kk-KZ" w:eastAsia="ru-RU"/>
        </w:rPr>
        <w:t>тамызбен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салыстырғанда </w:t>
      </w:r>
      <w:r>
        <w:rPr>
          <w:rFonts w:ascii="Times New Roman" w:hAnsi="Times New Roman"/>
          <w:sz w:val="24"/>
          <w:szCs w:val="24"/>
          <w:lang w:val="kk-KZ" w:eastAsia="ru-RU"/>
        </w:rPr>
        <w:t>28</w:t>
      </w:r>
      <w:r w:rsidRPr="00AA44DB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6</w:t>
      </w:r>
      <w:r w:rsidRPr="00AA44DB">
        <w:rPr>
          <w:rFonts w:ascii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-ға азайып, </w:t>
      </w:r>
      <w:r w:rsidRPr="00CE6F6B">
        <w:rPr>
          <w:rFonts w:ascii="Times New Roman" w:hAnsi="Times New Roman"/>
          <w:sz w:val="24"/>
          <w:szCs w:val="24"/>
          <w:lang w:val="kk-KZ" w:eastAsia="ru-RU"/>
        </w:rPr>
        <w:t>82,5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млрд. теңге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құрады.</w:t>
      </w:r>
    </w:p>
    <w:p w:rsidR="00555D1A" w:rsidRDefault="00555D1A" w:rsidP="00FA6EB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66EAB" w:rsidRPr="00931186" w:rsidRDefault="00A66EAB" w:rsidP="00BD5DA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31186">
        <w:rPr>
          <w:rFonts w:ascii="Times New Roman" w:hAnsi="Times New Roman"/>
          <w:b/>
          <w:sz w:val="24"/>
          <w:szCs w:val="24"/>
          <w:lang w:eastAsia="ru-RU"/>
        </w:rPr>
        <w:t>Депозит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нарығы</w:t>
      </w:r>
      <w:r w:rsidRPr="0093118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>Депозиттік ұйымдар</w:t>
      </w:r>
      <w:r>
        <w:rPr>
          <w:rFonts w:ascii="Times New Roman" w:hAnsi="Times New Roman"/>
          <w:sz w:val="24"/>
          <w:szCs w:val="24"/>
          <w:lang w:val="kk-KZ"/>
        </w:rPr>
        <w:t>дағы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резиденттер депозиттерінің жалпы көлемі</w:t>
      </w:r>
      <w:r w:rsidRPr="008A4416">
        <w:rPr>
          <w:rFonts w:ascii="Times New Roman" w:hAnsi="Times New Roman"/>
          <w:sz w:val="24"/>
          <w:szCs w:val="24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2013 жылғы </w:t>
      </w:r>
      <w:r>
        <w:rPr>
          <w:rFonts w:ascii="Times New Roman" w:hAnsi="Times New Roman"/>
          <w:sz w:val="24"/>
          <w:szCs w:val="24"/>
          <w:lang w:val="kk-KZ"/>
        </w:rPr>
        <w:t>қыркүйекте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 xml:space="preserve">10104,7 </w:t>
      </w:r>
      <w:r w:rsidRPr="008A4416">
        <w:rPr>
          <w:rFonts w:ascii="Times New Roman" w:hAnsi="Times New Roman"/>
          <w:sz w:val="24"/>
          <w:szCs w:val="24"/>
        </w:rPr>
        <w:t>млрд. те</w:t>
      </w:r>
      <w:r w:rsidRPr="008A4416">
        <w:rPr>
          <w:rFonts w:ascii="Times New Roman" w:hAnsi="Times New Roman"/>
          <w:sz w:val="24"/>
          <w:szCs w:val="24"/>
          <w:lang w:val="kk-KZ"/>
        </w:rPr>
        <w:t>ң</w:t>
      </w:r>
      <w:proofErr w:type="spellStart"/>
      <w:r w:rsidRPr="008A4416">
        <w:rPr>
          <w:rFonts w:ascii="Times New Roman" w:hAnsi="Times New Roman"/>
          <w:sz w:val="24"/>
          <w:szCs w:val="24"/>
        </w:rPr>
        <w:t>ге</w:t>
      </w:r>
      <w:proofErr w:type="spellEnd"/>
      <w:r w:rsidRPr="008A4416">
        <w:rPr>
          <w:rFonts w:ascii="Times New Roman" w:hAnsi="Times New Roman"/>
          <w:sz w:val="24"/>
          <w:szCs w:val="24"/>
          <w:lang w:val="kk-KZ"/>
        </w:rPr>
        <w:t xml:space="preserve">ге дейін </w:t>
      </w:r>
      <w:r w:rsidRPr="003C604C">
        <w:rPr>
          <w:rFonts w:ascii="Times New Roman" w:hAnsi="Times New Roman"/>
          <w:sz w:val="24"/>
          <w:szCs w:val="24"/>
          <w:lang w:eastAsia="ru-RU"/>
        </w:rPr>
        <w:t>2</w:t>
      </w:r>
      <w:r w:rsidRPr="003C604C">
        <w:rPr>
          <w:rFonts w:ascii="Times New Roman" w:hAnsi="Times New Roman"/>
          <w:sz w:val="24"/>
          <w:szCs w:val="24"/>
          <w:lang w:val="kk-KZ" w:eastAsia="ru-RU"/>
        </w:rPr>
        <w:t>,2</w:t>
      </w:r>
      <w:r w:rsidRPr="003C604C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Pr="008A4416">
        <w:rPr>
          <w:rFonts w:ascii="Times New Roman" w:hAnsi="Times New Roman"/>
          <w:sz w:val="24"/>
          <w:szCs w:val="24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>-ға</w:t>
      </w:r>
      <w:r w:rsidRPr="008A4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артты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(жылдың басынан б</w:t>
      </w:r>
      <w:r>
        <w:rPr>
          <w:rFonts w:ascii="Times New Roman" w:hAnsi="Times New Roman"/>
          <w:sz w:val="24"/>
          <w:szCs w:val="24"/>
          <w:lang w:val="kk-KZ"/>
        </w:rPr>
        <w:t>астап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>12,3</w:t>
      </w:r>
      <w:r w:rsidRPr="008A4416">
        <w:rPr>
          <w:rFonts w:ascii="Times New Roman" w:hAnsi="Times New Roman"/>
          <w:sz w:val="24"/>
          <w:szCs w:val="24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ө</w:t>
      </w:r>
      <w:proofErr w:type="gramStart"/>
      <w:r w:rsidRPr="008A4416">
        <w:rPr>
          <w:rFonts w:ascii="Times New Roman" w:hAnsi="Times New Roman"/>
          <w:sz w:val="24"/>
          <w:szCs w:val="24"/>
          <w:lang w:val="kk-KZ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>т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і</w:t>
      </w:r>
      <w:r w:rsidRPr="008A4416">
        <w:rPr>
          <w:rFonts w:ascii="Times New Roman" w:hAnsi="Times New Roman"/>
          <w:sz w:val="24"/>
          <w:szCs w:val="24"/>
          <w:lang w:val="kk-KZ"/>
        </w:rPr>
        <w:t>)</w:t>
      </w:r>
      <w:r w:rsidRPr="008A4416">
        <w:rPr>
          <w:rFonts w:ascii="Times New Roman" w:hAnsi="Times New Roman"/>
          <w:sz w:val="24"/>
          <w:szCs w:val="24"/>
        </w:rPr>
        <w:t xml:space="preserve">. </w:t>
      </w:r>
      <w:r w:rsidRPr="008A4416">
        <w:rPr>
          <w:rFonts w:ascii="Times New Roman" w:hAnsi="Times New Roman"/>
          <w:sz w:val="24"/>
          <w:szCs w:val="24"/>
          <w:lang w:val="kk-KZ"/>
        </w:rPr>
        <w:t>Заңды тұлғалардың д</w:t>
      </w:r>
      <w:proofErr w:type="spellStart"/>
      <w:r w:rsidRPr="008A4416">
        <w:rPr>
          <w:rFonts w:ascii="Times New Roman" w:hAnsi="Times New Roman"/>
          <w:sz w:val="24"/>
          <w:szCs w:val="24"/>
        </w:rPr>
        <w:t>епозит</w:t>
      </w:r>
      <w:proofErr w:type="spellEnd"/>
      <w:r w:rsidRPr="008A4416">
        <w:rPr>
          <w:rFonts w:ascii="Times New Roman" w:hAnsi="Times New Roman"/>
          <w:sz w:val="24"/>
          <w:szCs w:val="24"/>
          <w:lang w:val="kk-KZ"/>
        </w:rPr>
        <w:t xml:space="preserve">тері бір айда </w:t>
      </w:r>
      <w:r w:rsidRPr="003C604C">
        <w:rPr>
          <w:rFonts w:ascii="Times New Roman" w:hAnsi="Times New Roman"/>
          <w:sz w:val="24"/>
          <w:szCs w:val="24"/>
          <w:lang w:val="kk-KZ" w:eastAsia="ru-RU"/>
        </w:rPr>
        <w:t>6389,1</w:t>
      </w:r>
      <w:r w:rsidRPr="003C6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</w:rPr>
        <w:t>млрд. те</w:t>
      </w:r>
      <w:r w:rsidRPr="008A4416">
        <w:rPr>
          <w:rFonts w:ascii="Times New Roman" w:hAnsi="Times New Roman"/>
          <w:sz w:val="24"/>
          <w:szCs w:val="24"/>
          <w:lang w:val="kk-KZ"/>
        </w:rPr>
        <w:t>ң</w:t>
      </w:r>
      <w:proofErr w:type="spellStart"/>
      <w:r w:rsidRPr="008A4416">
        <w:rPr>
          <w:rFonts w:ascii="Times New Roman" w:hAnsi="Times New Roman"/>
          <w:sz w:val="24"/>
          <w:szCs w:val="24"/>
        </w:rPr>
        <w:t>ге</w:t>
      </w:r>
      <w:proofErr w:type="spellEnd"/>
      <w:r w:rsidRPr="008A4416">
        <w:rPr>
          <w:rFonts w:ascii="Times New Roman" w:hAnsi="Times New Roman"/>
          <w:sz w:val="24"/>
          <w:szCs w:val="24"/>
          <w:lang w:val="kk-KZ"/>
        </w:rPr>
        <w:t xml:space="preserve">ге дейін </w:t>
      </w:r>
      <w:r w:rsidRPr="003C604C">
        <w:rPr>
          <w:rFonts w:ascii="Times New Roman" w:hAnsi="Times New Roman"/>
          <w:sz w:val="24"/>
          <w:szCs w:val="24"/>
          <w:lang w:eastAsia="ru-RU"/>
        </w:rPr>
        <w:t>2,9</w:t>
      </w:r>
      <w:r w:rsidRPr="008A4416">
        <w:rPr>
          <w:rFonts w:ascii="Times New Roman" w:hAnsi="Times New Roman"/>
          <w:sz w:val="24"/>
          <w:szCs w:val="24"/>
          <w:lang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ө</w:t>
      </w:r>
      <w:proofErr w:type="gramStart"/>
      <w:r>
        <w:rPr>
          <w:rFonts w:ascii="Times New Roman" w:hAnsi="Times New Roman"/>
          <w:sz w:val="24"/>
          <w:szCs w:val="24"/>
          <w:lang w:val="kk-KZ" w:eastAsia="ru-RU"/>
        </w:rPr>
        <w:t>ст</w:t>
      </w:r>
      <w:proofErr w:type="gramEnd"/>
      <w:r>
        <w:rPr>
          <w:rFonts w:ascii="Times New Roman" w:hAnsi="Times New Roman"/>
          <w:sz w:val="24"/>
          <w:szCs w:val="24"/>
          <w:lang w:val="kk-KZ" w:eastAsia="ru-RU"/>
        </w:rPr>
        <w:t xml:space="preserve">і </w:t>
      </w:r>
      <w:r w:rsidRPr="008A4416">
        <w:rPr>
          <w:rFonts w:ascii="Times New Roman" w:hAnsi="Times New Roman"/>
          <w:sz w:val="24"/>
          <w:szCs w:val="24"/>
          <w:lang w:val="kk-KZ"/>
        </w:rPr>
        <w:t>(жылдың басынан б</w:t>
      </w:r>
      <w:r>
        <w:rPr>
          <w:rFonts w:ascii="Times New Roman" w:hAnsi="Times New Roman"/>
          <w:sz w:val="24"/>
          <w:szCs w:val="24"/>
          <w:lang w:val="kk-KZ"/>
        </w:rPr>
        <w:t>астап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>13,6</w:t>
      </w:r>
      <w:r w:rsidRPr="008A4416">
        <w:rPr>
          <w:rFonts w:ascii="Times New Roman" w:hAnsi="Times New Roman"/>
          <w:sz w:val="24"/>
          <w:szCs w:val="24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өс</w:t>
      </w:r>
      <w:r>
        <w:rPr>
          <w:rFonts w:ascii="Times New Roman" w:hAnsi="Times New Roman"/>
          <w:sz w:val="24"/>
          <w:szCs w:val="24"/>
          <w:lang w:val="kk-KZ"/>
        </w:rPr>
        <w:t>ті</w:t>
      </w:r>
      <w:r w:rsidRPr="008A4416">
        <w:rPr>
          <w:rFonts w:ascii="Times New Roman" w:hAnsi="Times New Roman"/>
          <w:sz w:val="24"/>
          <w:szCs w:val="24"/>
          <w:lang w:val="kk-KZ"/>
        </w:rPr>
        <w:t>)</w:t>
      </w:r>
      <w:r w:rsidRPr="008A4416">
        <w:rPr>
          <w:rFonts w:ascii="Times New Roman" w:hAnsi="Times New Roman"/>
          <w:sz w:val="24"/>
          <w:szCs w:val="24"/>
        </w:rPr>
        <w:t xml:space="preserve">, </w:t>
      </w:r>
      <w:r w:rsidRPr="008A4416">
        <w:rPr>
          <w:rFonts w:ascii="Times New Roman" w:hAnsi="Times New Roman"/>
          <w:sz w:val="24"/>
          <w:szCs w:val="24"/>
          <w:lang w:val="kk-KZ"/>
        </w:rPr>
        <w:t>жеке тұлғалардың депозиттері</w:t>
      </w:r>
      <w:r w:rsidRPr="008A4416">
        <w:rPr>
          <w:rFonts w:ascii="Times New Roman" w:hAnsi="Times New Roman"/>
          <w:sz w:val="24"/>
          <w:szCs w:val="24"/>
        </w:rPr>
        <w:t xml:space="preserve"> </w:t>
      </w:r>
      <w:r w:rsidRPr="003C604C">
        <w:rPr>
          <w:rFonts w:ascii="Times New Roman" w:hAnsi="Times New Roman"/>
          <w:sz w:val="24"/>
          <w:szCs w:val="24"/>
          <w:lang w:val="kk-KZ" w:eastAsia="ru-RU"/>
        </w:rPr>
        <w:t>3715,6</w:t>
      </w:r>
      <w:r w:rsidRPr="003C6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4416">
        <w:rPr>
          <w:rFonts w:ascii="Times New Roman" w:hAnsi="Times New Roman"/>
          <w:sz w:val="24"/>
          <w:szCs w:val="24"/>
        </w:rPr>
        <w:t>млрд. те</w:t>
      </w:r>
      <w:r w:rsidRPr="008A4416">
        <w:rPr>
          <w:rFonts w:ascii="Times New Roman" w:hAnsi="Times New Roman"/>
          <w:sz w:val="24"/>
          <w:szCs w:val="24"/>
          <w:lang w:val="kk-KZ"/>
        </w:rPr>
        <w:t>ң</w:t>
      </w:r>
      <w:proofErr w:type="spellStart"/>
      <w:r w:rsidRPr="008A4416">
        <w:rPr>
          <w:rFonts w:ascii="Times New Roman" w:hAnsi="Times New Roman"/>
          <w:sz w:val="24"/>
          <w:szCs w:val="24"/>
        </w:rPr>
        <w:t>ге</w:t>
      </w:r>
      <w:proofErr w:type="spellEnd"/>
      <w:r w:rsidRPr="008A4416">
        <w:rPr>
          <w:rFonts w:ascii="Times New Roman" w:hAnsi="Times New Roman"/>
          <w:sz w:val="24"/>
          <w:szCs w:val="24"/>
          <w:lang w:val="kk-KZ"/>
        </w:rPr>
        <w:t xml:space="preserve">ге дейін </w:t>
      </w:r>
      <w:r w:rsidRPr="003C604C">
        <w:rPr>
          <w:rFonts w:ascii="Times New Roman" w:hAnsi="Times New Roman"/>
          <w:sz w:val="24"/>
          <w:szCs w:val="24"/>
          <w:lang w:eastAsia="ru-RU"/>
        </w:rPr>
        <w:t>1,1</w:t>
      </w:r>
      <w:r w:rsidRPr="008A4416">
        <w:rPr>
          <w:rFonts w:ascii="Times New Roman" w:hAnsi="Times New Roman"/>
          <w:sz w:val="24"/>
          <w:szCs w:val="24"/>
          <w:lang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ұлғайды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(жылдың басынан бастап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>10,2</w:t>
      </w:r>
      <w:r w:rsidRPr="008A4416">
        <w:rPr>
          <w:rFonts w:ascii="Times New Roman" w:hAnsi="Times New Roman"/>
          <w:sz w:val="24"/>
          <w:szCs w:val="24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өс</w:t>
      </w:r>
      <w:r>
        <w:rPr>
          <w:rFonts w:ascii="Times New Roman" w:hAnsi="Times New Roman"/>
          <w:sz w:val="24"/>
          <w:szCs w:val="24"/>
          <w:lang w:val="kk-KZ"/>
        </w:rPr>
        <w:t>ті</w:t>
      </w:r>
      <w:r w:rsidRPr="008A4416">
        <w:rPr>
          <w:rFonts w:ascii="Times New Roman" w:hAnsi="Times New Roman"/>
          <w:sz w:val="24"/>
          <w:szCs w:val="24"/>
          <w:lang w:val="kk-KZ"/>
        </w:rPr>
        <w:t>)</w:t>
      </w:r>
      <w:r w:rsidRPr="008A4416">
        <w:rPr>
          <w:rFonts w:ascii="Times New Roman" w:hAnsi="Times New Roman"/>
          <w:sz w:val="24"/>
          <w:szCs w:val="24"/>
        </w:rPr>
        <w:t xml:space="preserve">. 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74527">
        <w:rPr>
          <w:rFonts w:ascii="Times New Roman" w:hAnsi="Times New Roman"/>
          <w:sz w:val="24"/>
          <w:szCs w:val="24"/>
          <w:lang w:val="kk-KZ"/>
        </w:rPr>
        <w:t>2013 жылғы қыркүйекте ұлттық валютадағы депозиттердің көлемі</w:t>
      </w:r>
      <w:r w:rsidRPr="00A74527">
        <w:rPr>
          <w:rFonts w:ascii="Times New Roman" w:hAnsi="Times New Roman"/>
          <w:sz w:val="24"/>
          <w:szCs w:val="24"/>
        </w:rPr>
        <w:t xml:space="preserve"> </w:t>
      </w:r>
      <w:r w:rsidRPr="00A74527">
        <w:rPr>
          <w:rFonts w:ascii="Times New Roman" w:hAnsi="Times New Roman"/>
          <w:sz w:val="24"/>
          <w:szCs w:val="24"/>
          <w:lang w:val="kk-KZ" w:eastAsia="ru-RU"/>
        </w:rPr>
        <w:t>6328,2</w:t>
      </w:r>
      <w:r w:rsidRPr="00A745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4527">
        <w:rPr>
          <w:rFonts w:ascii="Times New Roman" w:hAnsi="Times New Roman"/>
          <w:sz w:val="24"/>
          <w:szCs w:val="24"/>
        </w:rPr>
        <w:t>млрд. те</w:t>
      </w:r>
      <w:r w:rsidRPr="00A74527">
        <w:rPr>
          <w:rFonts w:ascii="Times New Roman" w:hAnsi="Times New Roman"/>
          <w:sz w:val="24"/>
          <w:szCs w:val="24"/>
          <w:lang w:val="kk-KZ"/>
        </w:rPr>
        <w:t>ң</w:t>
      </w:r>
      <w:proofErr w:type="spellStart"/>
      <w:r w:rsidRPr="00A74527">
        <w:rPr>
          <w:rFonts w:ascii="Times New Roman" w:hAnsi="Times New Roman"/>
          <w:sz w:val="24"/>
          <w:szCs w:val="24"/>
        </w:rPr>
        <w:t>ге</w:t>
      </w:r>
      <w:proofErr w:type="spellEnd"/>
      <w:r w:rsidRPr="00A74527">
        <w:rPr>
          <w:rFonts w:ascii="Times New Roman" w:hAnsi="Times New Roman"/>
          <w:sz w:val="24"/>
          <w:szCs w:val="24"/>
          <w:lang w:val="kk-KZ"/>
        </w:rPr>
        <w:t xml:space="preserve">ге дейін </w:t>
      </w:r>
      <w:r w:rsidRPr="00A74527">
        <w:rPr>
          <w:rFonts w:ascii="Times New Roman" w:hAnsi="Times New Roman"/>
          <w:sz w:val="24"/>
          <w:szCs w:val="24"/>
          <w:lang w:eastAsia="ru-RU"/>
        </w:rPr>
        <w:t>3,7%</w:t>
      </w:r>
      <w:r w:rsidRPr="00A74527"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A745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4527">
        <w:rPr>
          <w:rFonts w:ascii="Times New Roman" w:hAnsi="Times New Roman"/>
          <w:sz w:val="24"/>
          <w:szCs w:val="24"/>
          <w:lang w:val="kk-KZ" w:eastAsia="ru-RU"/>
        </w:rPr>
        <w:t>ө</w:t>
      </w:r>
      <w:proofErr w:type="gramStart"/>
      <w:r w:rsidRPr="00A74527">
        <w:rPr>
          <w:rFonts w:ascii="Times New Roman" w:hAnsi="Times New Roman"/>
          <w:sz w:val="24"/>
          <w:szCs w:val="24"/>
          <w:lang w:val="kk-KZ" w:eastAsia="ru-RU"/>
        </w:rPr>
        <w:t>ст</w:t>
      </w:r>
      <w:proofErr w:type="gramEnd"/>
      <w:r w:rsidRPr="00A74527">
        <w:rPr>
          <w:rFonts w:ascii="Times New Roman" w:hAnsi="Times New Roman"/>
          <w:sz w:val="24"/>
          <w:szCs w:val="24"/>
          <w:lang w:val="kk-KZ" w:eastAsia="ru-RU"/>
        </w:rPr>
        <w:t>і</w:t>
      </w:r>
      <w:r w:rsidRPr="008A4416">
        <w:rPr>
          <w:rFonts w:ascii="Times New Roman" w:hAnsi="Times New Roman"/>
          <w:sz w:val="24"/>
          <w:szCs w:val="24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(заңды тұлғалардың депозиттері </w:t>
      </w:r>
      <w:r w:rsidRPr="003C604C">
        <w:rPr>
          <w:rFonts w:ascii="Times New Roman" w:hAnsi="Times New Roman"/>
          <w:sz w:val="24"/>
          <w:szCs w:val="24"/>
          <w:lang w:eastAsia="ru-RU"/>
        </w:rPr>
        <w:t>5,0</w:t>
      </w:r>
      <w:r w:rsidRPr="008A4416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-ға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өсті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, жеке тұлғалардың депозиттері 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037164">
        <w:rPr>
          <w:rFonts w:ascii="Times New Roman" w:hAnsi="Times New Roman"/>
          <w:sz w:val="24"/>
          <w:szCs w:val="24"/>
          <w:lang w:eastAsia="ru-RU"/>
        </w:rPr>
        <w:t>,3</w:t>
      </w:r>
      <w:r w:rsidRPr="008A4416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-ға өсті</w:t>
      </w:r>
      <w:r w:rsidRPr="008A4416">
        <w:rPr>
          <w:rFonts w:ascii="Times New Roman" w:hAnsi="Times New Roman"/>
          <w:sz w:val="24"/>
          <w:szCs w:val="24"/>
          <w:lang w:val="kk-KZ"/>
        </w:rPr>
        <w:t>)</w:t>
      </w:r>
      <w:r w:rsidRPr="008A4416">
        <w:rPr>
          <w:rFonts w:ascii="Times New Roman" w:hAnsi="Times New Roman"/>
          <w:sz w:val="24"/>
          <w:szCs w:val="24"/>
        </w:rPr>
        <w:t xml:space="preserve">,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шетел валютасындағы депозиттердің көлемі </w:t>
      </w:r>
      <w:r w:rsidRPr="003C604C">
        <w:rPr>
          <w:rFonts w:ascii="Times New Roman" w:hAnsi="Times New Roman"/>
          <w:sz w:val="24"/>
          <w:szCs w:val="24"/>
          <w:lang w:eastAsia="ru-RU"/>
        </w:rPr>
        <w:t xml:space="preserve">3776,5 </w:t>
      </w:r>
      <w:r w:rsidRPr="00037164">
        <w:rPr>
          <w:rFonts w:ascii="Times New Roman" w:hAnsi="Times New Roman"/>
          <w:sz w:val="24"/>
          <w:szCs w:val="24"/>
          <w:lang w:eastAsia="ru-RU"/>
        </w:rPr>
        <w:t>млрд. те</w:t>
      </w:r>
      <w:r>
        <w:rPr>
          <w:rFonts w:ascii="Times New Roman" w:hAnsi="Times New Roman"/>
          <w:sz w:val="24"/>
          <w:szCs w:val="24"/>
          <w:lang w:val="kk-KZ" w:eastAsia="ru-RU"/>
        </w:rPr>
        <w:t>ң</w:t>
      </w:r>
      <w:proofErr w:type="spellStart"/>
      <w:r w:rsidRPr="00037164">
        <w:rPr>
          <w:rFonts w:ascii="Times New Roman" w:hAnsi="Times New Roman"/>
          <w:sz w:val="24"/>
          <w:szCs w:val="24"/>
          <w:lang w:eastAsia="ru-RU"/>
        </w:rPr>
        <w:t>ге</w:t>
      </w:r>
      <w:proofErr w:type="spellEnd"/>
      <w:r>
        <w:rPr>
          <w:rFonts w:ascii="Times New Roman" w:hAnsi="Times New Roman"/>
          <w:sz w:val="24"/>
          <w:szCs w:val="24"/>
          <w:lang w:val="kk-KZ" w:eastAsia="ru-RU"/>
        </w:rPr>
        <w:t>ге дейін</w:t>
      </w:r>
      <w:r w:rsidRPr="000371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>0,2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A4416">
        <w:rPr>
          <w:rFonts w:ascii="Times New Roman" w:hAnsi="Times New Roman"/>
          <w:sz w:val="24"/>
          <w:szCs w:val="24"/>
          <w:lang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төмендеді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(заңды тұлғалардың депозиттері </w:t>
      </w:r>
      <w:r w:rsidRPr="003C604C">
        <w:rPr>
          <w:rFonts w:ascii="Times New Roman" w:hAnsi="Times New Roman"/>
          <w:sz w:val="24"/>
          <w:szCs w:val="24"/>
          <w:lang w:eastAsia="ru-RU"/>
        </w:rPr>
        <w:t>1,0</w:t>
      </w:r>
      <w:r w:rsidRPr="008A4416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 xml:space="preserve"> төмендеді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, жеке тұлғалардың депозиттері </w:t>
      </w:r>
      <w:r w:rsidRPr="003C604C">
        <w:rPr>
          <w:rFonts w:ascii="Times New Roman" w:hAnsi="Times New Roman"/>
          <w:sz w:val="24"/>
          <w:szCs w:val="24"/>
          <w:lang w:eastAsia="ru-RU"/>
        </w:rPr>
        <w:t>0,9</w:t>
      </w:r>
      <w:r w:rsidRPr="008A4416">
        <w:rPr>
          <w:rFonts w:ascii="Times New Roman" w:hAnsi="Times New Roman"/>
          <w:sz w:val="24"/>
          <w:szCs w:val="24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өс</w:t>
      </w:r>
      <w:r>
        <w:rPr>
          <w:rFonts w:ascii="Times New Roman" w:hAnsi="Times New Roman"/>
          <w:sz w:val="24"/>
          <w:szCs w:val="24"/>
          <w:lang w:val="kk-KZ"/>
        </w:rPr>
        <w:t>ті</w:t>
      </w:r>
      <w:r w:rsidRPr="008A4416">
        <w:rPr>
          <w:rFonts w:ascii="Times New Roman" w:hAnsi="Times New Roman"/>
          <w:sz w:val="24"/>
          <w:szCs w:val="24"/>
          <w:lang w:val="kk-KZ"/>
        </w:rPr>
        <w:t>)</w:t>
      </w:r>
      <w:r w:rsidRPr="008A4416">
        <w:rPr>
          <w:rFonts w:ascii="Times New Roman" w:hAnsi="Times New Roman"/>
          <w:sz w:val="24"/>
          <w:szCs w:val="24"/>
        </w:rPr>
        <w:t xml:space="preserve">.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Теңгемен </w:t>
      </w:r>
      <w:r>
        <w:rPr>
          <w:rFonts w:ascii="Times New Roman" w:hAnsi="Times New Roman"/>
          <w:sz w:val="24"/>
          <w:szCs w:val="24"/>
          <w:lang w:val="kk-KZ"/>
        </w:rPr>
        <w:t xml:space="preserve">берілген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депозиттердің үлес салмағы бір айда </w:t>
      </w:r>
      <w:r w:rsidRPr="0080541D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1,</w:t>
      </w:r>
      <w:r>
        <w:rPr>
          <w:rFonts w:ascii="Times New Roman" w:hAnsi="Times New Roman"/>
          <w:sz w:val="24"/>
          <w:szCs w:val="24"/>
          <w:lang w:val="kk-KZ" w:eastAsia="ru-RU"/>
        </w:rPr>
        <w:t>7</w:t>
      </w:r>
      <w:r w:rsidRPr="008A4416">
        <w:rPr>
          <w:rFonts w:ascii="Times New Roman" w:hAnsi="Times New Roman"/>
          <w:sz w:val="24"/>
          <w:szCs w:val="24"/>
          <w:lang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-дан</w:t>
      </w:r>
      <w:r w:rsidRPr="008A44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>62,6</w:t>
      </w:r>
      <w:r w:rsidRPr="008A4416">
        <w:rPr>
          <w:rFonts w:ascii="Times New Roman" w:hAnsi="Times New Roman"/>
          <w:sz w:val="24"/>
          <w:szCs w:val="24"/>
          <w:lang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/>
          <w:sz w:val="24"/>
          <w:szCs w:val="24"/>
          <w:lang w:val="kk-KZ"/>
        </w:rPr>
        <w:t>өсті</w:t>
      </w:r>
      <w:r w:rsidRPr="008A4416">
        <w:rPr>
          <w:rFonts w:ascii="Times New Roman" w:hAnsi="Times New Roman"/>
          <w:sz w:val="24"/>
          <w:szCs w:val="24"/>
        </w:rPr>
        <w:t>.</w:t>
      </w:r>
    </w:p>
    <w:p w:rsidR="00A66EAB" w:rsidRDefault="00A66EAB" w:rsidP="00A66E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>Халықтың (резидент еместерді қоса есептегенде)</w:t>
      </w:r>
      <w:r w:rsidRPr="008A4416">
        <w:rPr>
          <w:rFonts w:ascii="Times New Roman" w:hAnsi="Times New Roman"/>
          <w:sz w:val="24"/>
          <w:szCs w:val="24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/>
        </w:rPr>
        <w:t>банктер</w:t>
      </w:r>
      <w:r>
        <w:rPr>
          <w:rFonts w:ascii="Times New Roman" w:hAnsi="Times New Roman"/>
          <w:sz w:val="24"/>
          <w:szCs w:val="24"/>
          <w:lang w:val="kk-KZ"/>
        </w:rPr>
        <w:t>дегі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салымдары </w:t>
      </w:r>
      <w:r w:rsidRPr="008A4416">
        <w:rPr>
          <w:rFonts w:ascii="Times New Roman" w:hAnsi="Times New Roman"/>
          <w:sz w:val="24"/>
          <w:szCs w:val="24"/>
        </w:rPr>
        <w:t>201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3 жылғы </w:t>
      </w:r>
      <w:r>
        <w:rPr>
          <w:rFonts w:ascii="Times New Roman" w:hAnsi="Times New Roman"/>
          <w:sz w:val="24"/>
          <w:szCs w:val="24"/>
          <w:lang w:val="kk-KZ"/>
        </w:rPr>
        <w:t>қыркүйекте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 xml:space="preserve">3749,7 </w:t>
      </w:r>
      <w:r w:rsidRPr="008A4416">
        <w:rPr>
          <w:rFonts w:ascii="Times New Roman" w:hAnsi="Times New Roman"/>
          <w:sz w:val="24"/>
          <w:szCs w:val="24"/>
        </w:rPr>
        <w:t>млрд. те</w:t>
      </w:r>
      <w:r w:rsidRPr="008A4416">
        <w:rPr>
          <w:rFonts w:ascii="Times New Roman" w:hAnsi="Times New Roman"/>
          <w:sz w:val="24"/>
          <w:szCs w:val="24"/>
          <w:lang w:val="kk-KZ"/>
        </w:rPr>
        <w:t>ң</w:t>
      </w:r>
      <w:proofErr w:type="spellStart"/>
      <w:r w:rsidRPr="008A4416">
        <w:rPr>
          <w:rFonts w:ascii="Times New Roman" w:hAnsi="Times New Roman"/>
          <w:sz w:val="24"/>
          <w:szCs w:val="24"/>
        </w:rPr>
        <w:t>ге</w:t>
      </w:r>
      <w:proofErr w:type="spellEnd"/>
      <w:r w:rsidRPr="008A4416">
        <w:rPr>
          <w:rFonts w:ascii="Times New Roman" w:hAnsi="Times New Roman"/>
          <w:sz w:val="24"/>
          <w:szCs w:val="24"/>
          <w:lang w:val="kk-KZ"/>
        </w:rPr>
        <w:t xml:space="preserve">ге дейін </w:t>
      </w:r>
      <w:r w:rsidRPr="003C604C">
        <w:rPr>
          <w:rFonts w:ascii="Times New Roman" w:hAnsi="Times New Roman"/>
          <w:sz w:val="24"/>
          <w:szCs w:val="24"/>
          <w:lang w:eastAsia="ru-RU"/>
        </w:rPr>
        <w:t>1,1</w:t>
      </w:r>
      <w:r w:rsidRPr="008A4416">
        <w:rPr>
          <w:rFonts w:ascii="Times New Roman" w:hAnsi="Times New Roman"/>
          <w:sz w:val="24"/>
          <w:szCs w:val="24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>-ға</w:t>
      </w:r>
      <w:r w:rsidRPr="008A4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ұлғайды</w:t>
      </w:r>
      <w:r w:rsidRPr="008A4416">
        <w:rPr>
          <w:rFonts w:ascii="Times New Roman" w:hAnsi="Times New Roman"/>
          <w:sz w:val="24"/>
          <w:szCs w:val="24"/>
        </w:rPr>
        <w:t xml:space="preserve">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(жылдың басынан бері </w:t>
      </w:r>
      <w:r w:rsidRPr="003C604C">
        <w:rPr>
          <w:rFonts w:ascii="Times New Roman" w:hAnsi="Times New Roman"/>
          <w:sz w:val="24"/>
          <w:szCs w:val="24"/>
          <w:lang w:eastAsia="ru-RU"/>
        </w:rPr>
        <w:lastRenderedPageBreak/>
        <w:t>10,0</w:t>
      </w:r>
      <w:r w:rsidRPr="008A4416">
        <w:rPr>
          <w:rFonts w:ascii="Times New Roman" w:hAnsi="Times New Roman"/>
          <w:sz w:val="24"/>
          <w:szCs w:val="24"/>
          <w:lang w:eastAsia="ru-RU"/>
        </w:rPr>
        <w:t>%</w:t>
      </w:r>
      <w:r>
        <w:rPr>
          <w:rFonts w:ascii="Times New Roman" w:hAnsi="Times New Roman"/>
          <w:sz w:val="24"/>
          <w:szCs w:val="24"/>
          <w:lang w:val="kk-KZ" w:eastAsia="ru-RU"/>
        </w:rPr>
        <w:t>-ға ө</w:t>
      </w:r>
      <w:proofErr w:type="gramStart"/>
      <w:r>
        <w:rPr>
          <w:rFonts w:ascii="Times New Roman" w:hAnsi="Times New Roman"/>
          <w:sz w:val="24"/>
          <w:szCs w:val="24"/>
          <w:lang w:val="kk-KZ" w:eastAsia="ru-RU"/>
        </w:rPr>
        <w:t>ст</w:t>
      </w:r>
      <w:proofErr w:type="gramEnd"/>
      <w:r>
        <w:rPr>
          <w:rFonts w:ascii="Times New Roman" w:hAnsi="Times New Roman"/>
          <w:sz w:val="24"/>
          <w:szCs w:val="24"/>
          <w:lang w:val="kk-KZ" w:eastAsia="ru-RU"/>
        </w:rPr>
        <w:t>і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)</w:t>
      </w:r>
      <w:r w:rsidRPr="008A4416">
        <w:rPr>
          <w:rFonts w:ascii="Times New Roman" w:hAnsi="Times New Roman"/>
          <w:sz w:val="24"/>
          <w:szCs w:val="24"/>
        </w:rPr>
        <w:t>.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Халық салымдарының құрылымында теңге</w:t>
      </w:r>
      <w:r>
        <w:rPr>
          <w:rFonts w:ascii="Times New Roman" w:hAnsi="Times New Roman"/>
          <w:sz w:val="24"/>
          <w:szCs w:val="24"/>
          <w:lang w:val="kk-KZ"/>
        </w:rPr>
        <w:t>дегі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депозиттер </w:t>
      </w:r>
      <w:r w:rsidRPr="00C8763D">
        <w:rPr>
          <w:rFonts w:ascii="Times New Roman" w:hAnsi="Times New Roman"/>
          <w:sz w:val="24"/>
          <w:szCs w:val="24"/>
          <w:lang w:val="kk-KZ" w:eastAsia="ru-RU"/>
        </w:rPr>
        <w:t xml:space="preserve">2101,3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млрд. теңгеге дейін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z w:val="24"/>
          <w:szCs w:val="24"/>
          <w:lang w:val="kk-KZ" w:eastAsia="ru-RU"/>
        </w:rPr>
        <w:t>ұлғайды</w:t>
      </w:r>
      <w:r w:rsidRPr="008A4416">
        <w:rPr>
          <w:rFonts w:ascii="Times New Roman" w:hAnsi="Times New Roman"/>
          <w:sz w:val="24"/>
          <w:szCs w:val="24"/>
          <w:lang w:val="kk-KZ"/>
        </w:rPr>
        <w:t>, шетел валютасындағы депозитте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8763D">
        <w:rPr>
          <w:rFonts w:ascii="Times New Roman" w:hAnsi="Times New Roman"/>
          <w:sz w:val="24"/>
          <w:szCs w:val="24"/>
          <w:lang w:val="kk-KZ" w:eastAsia="ru-RU"/>
        </w:rPr>
        <w:t xml:space="preserve">1648,3 </w:t>
      </w:r>
      <w:r w:rsidRPr="008A4416">
        <w:rPr>
          <w:rFonts w:ascii="Times New Roman" w:hAnsi="Times New Roman"/>
          <w:sz w:val="24"/>
          <w:szCs w:val="24"/>
          <w:lang w:val="kk-KZ"/>
        </w:rPr>
        <w:t>млрд. теңгеге дейін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C8763D">
        <w:rPr>
          <w:rFonts w:ascii="Times New Roman" w:hAnsi="Times New Roman"/>
          <w:sz w:val="24"/>
          <w:szCs w:val="24"/>
          <w:lang w:val="kk-KZ" w:eastAsia="ru-RU"/>
        </w:rPr>
        <w:t>0,8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%-ға </w:t>
      </w:r>
      <w:r w:rsidRPr="008A4416">
        <w:rPr>
          <w:rFonts w:ascii="Times New Roman" w:hAnsi="Times New Roman"/>
          <w:sz w:val="24"/>
          <w:szCs w:val="24"/>
          <w:lang w:val="kk-KZ"/>
        </w:rPr>
        <w:t>кө</w:t>
      </w:r>
      <w:r>
        <w:rPr>
          <w:rFonts w:ascii="Times New Roman" w:hAnsi="Times New Roman"/>
          <w:sz w:val="24"/>
          <w:szCs w:val="24"/>
          <w:lang w:val="kk-KZ"/>
        </w:rPr>
        <w:t>терілді</w:t>
      </w:r>
      <w:r w:rsidRPr="008A4416">
        <w:rPr>
          <w:rFonts w:ascii="Times New Roman" w:hAnsi="Times New Roman"/>
          <w:sz w:val="24"/>
          <w:szCs w:val="24"/>
          <w:lang w:val="kk-KZ"/>
        </w:rPr>
        <w:t>. Халық салымдарының құрамында теңге</w:t>
      </w:r>
      <w:r>
        <w:rPr>
          <w:rFonts w:ascii="Times New Roman" w:hAnsi="Times New Roman"/>
          <w:sz w:val="24"/>
          <w:szCs w:val="24"/>
          <w:lang w:val="kk-KZ"/>
        </w:rPr>
        <w:t>дегі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депозиттер</w:t>
      </w:r>
      <w:r>
        <w:rPr>
          <w:rFonts w:ascii="Times New Roman" w:hAnsi="Times New Roman"/>
          <w:sz w:val="24"/>
          <w:szCs w:val="24"/>
          <w:lang w:val="kk-KZ"/>
        </w:rPr>
        <w:t>д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ің үлес салмағы бір айда </w:t>
      </w:r>
      <w:r w:rsidRPr="00C8763D">
        <w:rPr>
          <w:rFonts w:ascii="Times New Roman" w:hAnsi="Times New Roman"/>
          <w:sz w:val="24"/>
          <w:szCs w:val="24"/>
          <w:lang w:val="kk-KZ" w:eastAsia="ru-RU"/>
        </w:rPr>
        <w:t>55,9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%-дан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56,0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%-ға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дейін </w:t>
      </w:r>
      <w:r>
        <w:rPr>
          <w:rFonts w:ascii="Times New Roman" w:hAnsi="Times New Roman"/>
          <w:sz w:val="24"/>
          <w:szCs w:val="24"/>
          <w:lang w:val="kk-KZ"/>
        </w:rPr>
        <w:t>өсті</w:t>
      </w:r>
      <w:r w:rsidRPr="008A4416">
        <w:rPr>
          <w:rFonts w:ascii="Times New Roman" w:hAnsi="Times New Roman"/>
          <w:sz w:val="24"/>
          <w:szCs w:val="24"/>
          <w:lang w:val="kk-KZ"/>
        </w:rPr>
        <w:t>.</w:t>
      </w:r>
    </w:p>
    <w:p w:rsidR="00A66EAB" w:rsidRPr="008A4416" w:rsidRDefault="00A66EAB" w:rsidP="00A66E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2013 жылғы </w:t>
      </w:r>
      <w:r>
        <w:rPr>
          <w:rFonts w:ascii="Times New Roman" w:hAnsi="Times New Roman"/>
          <w:sz w:val="24"/>
          <w:szCs w:val="24"/>
          <w:lang w:val="kk-KZ"/>
        </w:rPr>
        <w:t>қыркүйекте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мерзімді депозиттер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6933,2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млрд. теңгеге дейін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1,7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ұлғайды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. Мерзімді депозиттердің құрамында теңгемен депозиттер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4141,8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млрд. теңгеге дейін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2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0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-ға </w:t>
      </w:r>
      <w:r>
        <w:rPr>
          <w:rFonts w:ascii="Times New Roman" w:hAnsi="Times New Roman"/>
          <w:sz w:val="24"/>
          <w:szCs w:val="24"/>
          <w:lang w:val="kk-KZ" w:eastAsia="ru-RU"/>
        </w:rPr>
        <w:t>артты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, шетел валютасымен депозиттер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2791,4 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млрд. теңгеге дейін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1,4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-ға ұлғай</w:t>
      </w:r>
      <w:r>
        <w:rPr>
          <w:rFonts w:ascii="Times New Roman" w:hAnsi="Times New Roman"/>
          <w:sz w:val="24"/>
          <w:szCs w:val="24"/>
          <w:lang w:val="kk-KZ" w:eastAsia="ru-RU"/>
        </w:rPr>
        <w:t>ды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.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2013 жылғы </w:t>
      </w:r>
      <w:r>
        <w:rPr>
          <w:rFonts w:ascii="Times New Roman" w:hAnsi="Times New Roman"/>
          <w:sz w:val="24"/>
          <w:szCs w:val="24"/>
          <w:lang w:val="kk-KZ"/>
        </w:rPr>
        <w:t xml:space="preserve">қыркүйекте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банктік емес заңды тұлғалардың теңгемен мерзімді депозиттері бойынша орташа алынған сыйақы </w:t>
      </w:r>
      <w:r>
        <w:rPr>
          <w:rFonts w:ascii="Times New Roman" w:hAnsi="Times New Roman"/>
          <w:sz w:val="24"/>
          <w:szCs w:val="24"/>
          <w:lang w:val="kk-KZ"/>
        </w:rPr>
        <w:t>мөлшерлемесі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C76A56">
        <w:rPr>
          <w:rFonts w:ascii="Times New Roman" w:hAnsi="Times New Roman"/>
          <w:sz w:val="24"/>
          <w:szCs w:val="24"/>
          <w:lang w:val="kk-KZ" w:eastAsia="ru-RU"/>
        </w:rPr>
        <w:t xml:space="preserve">%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(2013 жылғы </w:t>
      </w:r>
      <w:r>
        <w:rPr>
          <w:rFonts w:ascii="Times New Roman" w:hAnsi="Times New Roman"/>
          <w:sz w:val="24"/>
          <w:szCs w:val="24"/>
          <w:lang w:val="kk-KZ"/>
        </w:rPr>
        <w:t xml:space="preserve">тамызда –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4,4</w:t>
      </w:r>
      <w:r w:rsidRPr="008A4416">
        <w:rPr>
          <w:rFonts w:ascii="Times New Roman" w:hAnsi="Times New Roman"/>
          <w:sz w:val="24"/>
          <w:szCs w:val="24"/>
          <w:lang w:val="kk-KZ"/>
        </w:rPr>
        <w:t>%), ал жеке тұлға</w:t>
      </w:r>
      <w:r>
        <w:rPr>
          <w:rFonts w:ascii="Times New Roman" w:hAnsi="Times New Roman"/>
          <w:sz w:val="24"/>
          <w:szCs w:val="24"/>
          <w:lang w:val="kk-KZ"/>
        </w:rPr>
        <w:t>лардың депозиттері бойынша – 6,3</w:t>
      </w:r>
      <w:r w:rsidRPr="008A4416">
        <w:rPr>
          <w:rFonts w:ascii="Times New Roman" w:hAnsi="Times New Roman"/>
          <w:sz w:val="24"/>
          <w:szCs w:val="24"/>
          <w:lang w:val="kk-KZ"/>
        </w:rPr>
        <w:t>% (6,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Pr="008A4416">
        <w:rPr>
          <w:rFonts w:ascii="Times New Roman" w:hAnsi="Times New Roman"/>
          <w:sz w:val="24"/>
          <w:szCs w:val="24"/>
          <w:lang w:val="kk-KZ"/>
        </w:rPr>
        <w:t>%) болды.</w:t>
      </w:r>
    </w:p>
    <w:p w:rsidR="00A66EAB" w:rsidRPr="00C8763D" w:rsidRDefault="00A66EAB" w:rsidP="00A66EAB">
      <w:pPr>
        <w:pStyle w:val="a5"/>
        <w:spacing w:after="0" w:line="240" w:lineRule="auto"/>
        <w:ind w:left="709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A66EAB" w:rsidRPr="008A4416" w:rsidRDefault="00A66EAB" w:rsidP="00BD5DA2">
      <w:pPr>
        <w:pStyle w:val="a5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4416">
        <w:rPr>
          <w:rFonts w:ascii="Times New Roman" w:hAnsi="Times New Roman"/>
          <w:b/>
          <w:bCs/>
          <w:sz w:val="24"/>
          <w:szCs w:val="24"/>
          <w:lang w:eastAsia="ru-RU"/>
        </w:rPr>
        <w:t>Кредит</w:t>
      </w:r>
      <w:r w:rsidRPr="008A4416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 нарығы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Банктердің экономиканы кредиттеуінің жалпы көлемі 2013 </w:t>
      </w:r>
      <w:r>
        <w:rPr>
          <w:rFonts w:ascii="Times New Roman" w:hAnsi="Times New Roman"/>
          <w:sz w:val="24"/>
          <w:szCs w:val="24"/>
          <w:lang w:val="kk-KZ"/>
        </w:rPr>
        <w:t>қыркүйекте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604C">
        <w:rPr>
          <w:rFonts w:ascii="Times New Roman" w:hAnsi="Times New Roman"/>
          <w:sz w:val="24"/>
          <w:szCs w:val="24"/>
          <w:lang w:eastAsia="ru-RU"/>
        </w:rPr>
        <w:t xml:space="preserve">10935,7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млрд. теңгені құрап, </w:t>
      </w:r>
      <w:r w:rsidRPr="003C604C">
        <w:rPr>
          <w:rFonts w:ascii="Times New Roman" w:hAnsi="Times New Roman"/>
          <w:sz w:val="24"/>
          <w:szCs w:val="24"/>
          <w:lang w:val="kk-KZ" w:eastAsia="ru-RU"/>
        </w:rPr>
        <w:t>1,4</w:t>
      </w:r>
      <w:r w:rsidRPr="008A4416">
        <w:rPr>
          <w:rFonts w:ascii="Times New Roman" w:hAnsi="Times New Roman"/>
          <w:sz w:val="24"/>
          <w:szCs w:val="24"/>
          <w:lang w:val="kk-KZ"/>
        </w:rPr>
        <w:t>% өсті (жылдың басынан бері өс</w:t>
      </w:r>
      <w:r>
        <w:rPr>
          <w:rFonts w:ascii="Times New Roman" w:hAnsi="Times New Roman"/>
          <w:sz w:val="24"/>
          <w:szCs w:val="24"/>
          <w:lang w:val="kk-KZ"/>
        </w:rPr>
        <w:t xml:space="preserve">ім </w:t>
      </w:r>
      <w:r w:rsidRPr="003C604C">
        <w:rPr>
          <w:rFonts w:ascii="Times New Roman" w:hAnsi="Times New Roman"/>
          <w:sz w:val="24"/>
          <w:szCs w:val="24"/>
          <w:lang w:eastAsia="ru-RU"/>
        </w:rPr>
        <w:t>9,8</w:t>
      </w:r>
      <w:r w:rsidRPr="008A4416">
        <w:rPr>
          <w:rFonts w:ascii="Times New Roman" w:hAnsi="Times New Roman"/>
          <w:sz w:val="24"/>
          <w:szCs w:val="24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).  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Ұлттық валютадағы кредиттердің көлемі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7694,3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млрд. теңгеге дейін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8A4416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8A4416">
        <w:rPr>
          <w:rFonts w:ascii="Times New Roman" w:hAnsi="Times New Roman"/>
          <w:sz w:val="24"/>
          <w:szCs w:val="24"/>
          <w:lang w:val="kk-KZ"/>
        </w:rPr>
        <w:t>%-ға ұлғай</w:t>
      </w:r>
      <w:r>
        <w:rPr>
          <w:rFonts w:ascii="Times New Roman" w:hAnsi="Times New Roman"/>
          <w:sz w:val="24"/>
          <w:szCs w:val="24"/>
          <w:lang w:val="kk-KZ"/>
        </w:rPr>
        <w:t>ды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(жылдың басынан бері </w:t>
      </w:r>
      <w:r>
        <w:rPr>
          <w:rFonts w:ascii="Times New Roman" w:hAnsi="Times New Roman"/>
          <w:sz w:val="24"/>
          <w:szCs w:val="24"/>
          <w:lang w:val="kk-KZ"/>
        </w:rPr>
        <w:t xml:space="preserve">өсім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9,3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%), шетел валютасындағы кредит көлемі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3241,4 </w:t>
      </w:r>
      <w:r w:rsidRPr="008A4416">
        <w:rPr>
          <w:rFonts w:ascii="Times New Roman" w:hAnsi="Times New Roman"/>
          <w:sz w:val="24"/>
          <w:szCs w:val="24"/>
          <w:lang w:val="kk-KZ"/>
        </w:rPr>
        <w:t>млрд. теңг</w:t>
      </w:r>
      <w:r>
        <w:rPr>
          <w:rFonts w:ascii="Times New Roman" w:hAnsi="Times New Roman"/>
          <w:sz w:val="24"/>
          <w:szCs w:val="24"/>
          <w:lang w:val="kk-KZ"/>
        </w:rPr>
        <w:t xml:space="preserve">еге дейін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2,2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%-ға </w:t>
      </w:r>
      <w:r>
        <w:rPr>
          <w:rFonts w:ascii="Times New Roman" w:hAnsi="Times New Roman"/>
          <w:sz w:val="24"/>
          <w:szCs w:val="24"/>
          <w:lang w:val="kk-KZ"/>
        </w:rPr>
        <w:t xml:space="preserve">өсті (жылдың басынан бері өсім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11,1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%). Теңгедегі кредиттердің үлес салмағы бір айда </w:t>
      </w:r>
      <w:r>
        <w:rPr>
          <w:rFonts w:ascii="Times New Roman" w:hAnsi="Times New Roman"/>
          <w:sz w:val="24"/>
          <w:szCs w:val="24"/>
          <w:lang w:val="kk-KZ" w:eastAsia="ru-RU"/>
        </w:rPr>
        <w:t>70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6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%-дан 7</w:t>
      </w:r>
      <w:r>
        <w:rPr>
          <w:rFonts w:ascii="Times New Roman" w:hAnsi="Times New Roman"/>
          <w:sz w:val="24"/>
          <w:szCs w:val="24"/>
          <w:lang w:val="kk-KZ" w:eastAsia="ru-RU"/>
        </w:rPr>
        <w:t>0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4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%-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ға дейін </w:t>
      </w:r>
      <w:r>
        <w:rPr>
          <w:rFonts w:ascii="Times New Roman" w:hAnsi="Times New Roman"/>
          <w:sz w:val="24"/>
          <w:szCs w:val="24"/>
          <w:lang w:val="kk-KZ"/>
        </w:rPr>
        <w:t>төмендеді</w:t>
      </w:r>
      <w:r w:rsidRPr="008A4416">
        <w:rPr>
          <w:rFonts w:ascii="Times New Roman" w:hAnsi="Times New Roman"/>
          <w:sz w:val="24"/>
          <w:szCs w:val="24"/>
          <w:lang w:val="kk-KZ"/>
        </w:rPr>
        <w:t>.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>Ұзақ мерзімді кредиттеу 2013 жылғы</w:t>
      </w:r>
      <w:r>
        <w:rPr>
          <w:rFonts w:ascii="Times New Roman" w:hAnsi="Times New Roman"/>
          <w:sz w:val="24"/>
          <w:szCs w:val="24"/>
          <w:lang w:val="kk-KZ"/>
        </w:rPr>
        <w:t xml:space="preserve"> қыркүйекте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8908,0 </w:t>
      </w:r>
      <w:r w:rsidRPr="008A4416">
        <w:rPr>
          <w:rFonts w:ascii="Times New Roman" w:hAnsi="Times New Roman"/>
          <w:sz w:val="24"/>
          <w:szCs w:val="24"/>
          <w:lang w:val="kk-KZ"/>
        </w:rPr>
        <w:t>млрд. теңгені құрап, 1,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8A4416">
        <w:rPr>
          <w:rFonts w:ascii="Times New Roman" w:hAnsi="Times New Roman"/>
          <w:sz w:val="24"/>
          <w:szCs w:val="24"/>
          <w:lang w:val="kk-KZ"/>
        </w:rPr>
        <w:t>%-ға кө</w:t>
      </w:r>
      <w:r>
        <w:rPr>
          <w:rFonts w:ascii="Times New Roman" w:hAnsi="Times New Roman"/>
          <w:sz w:val="24"/>
          <w:szCs w:val="24"/>
          <w:lang w:val="kk-KZ"/>
        </w:rPr>
        <w:t>терілді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, қысқа мерзімді кредиттеу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2027,7 </w:t>
      </w:r>
      <w:r w:rsidRPr="008A4416">
        <w:rPr>
          <w:rFonts w:ascii="Times New Roman" w:hAnsi="Times New Roman"/>
          <w:sz w:val="24"/>
          <w:szCs w:val="24"/>
          <w:lang w:val="kk-KZ"/>
        </w:rPr>
        <w:t>млрд. теңге</w:t>
      </w:r>
      <w:r>
        <w:rPr>
          <w:rFonts w:ascii="Times New Roman" w:hAnsi="Times New Roman"/>
          <w:sz w:val="24"/>
          <w:szCs w:val="24"/>
          <w:lang w:val="kk-KZ"/>
        </w:rPr>
        <w:t>ге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дейін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3,0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z w:val="24"/>
          <w:szCs w:val="24"/>
          <w:lang w:val="kk-KZ" w:eastAsia="ru-RU"/>
        </w:rPr>
        <w:t>өсті</w:t>
      </w:r>
      <w:r w:rsidRPr="008A4416">
        <w:rPr>
          <w:rFonts w:ascii="Times New Roman" w:hAnsi="Times New Roman"/>
          <w:sz w:val="24"/>
          <w:szCs w:val="24"/>
          <w:lang w:val="kk-KZ"/>
        </w:rPr>
        <w:t>. Ұзақ мерзімді кредитт</w:t>
      </w:r>
      <w:r>
        <w:rPr>
          <w:rFonts w:ascii="Times New Roman" w:hAnsi="Times New Roman"/>
          <w:sz w:val="24"/>
          <w:szCs w:val="24"/>
          <w:lang w:val="kk-KZ"/>
        </w:rPr>
        <w:t>ердің үлес салмағы бір айда 81,7</w:t>
      </w:r>
      <w:r w:rsidRPr="008A4416">
        <w:rPr>
          <w:rFonts w:ascii="Times New Roman" w:hAnsi="Times New Roman"/>
          <w:sz w:val="24"/>
          <w:szCs w:val="24"/>
          <w:lang w:val="kk-KZ"/>
        </w:rPr>
        <w:t>%-дан 81,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%-ға дейін </w:t>
      </w:r>
      <w:r>
        <w:rPr>
          <w:rFonts w:ascii="Times New Roman" w:hAnsi="Times New Roman"/>
          <w:sz w:val="24"/>
          <w:szCs w:val="24"/>
          <w:lang w:val="kk-KZ"/>
        </w:rPr>
        <w:t>төмендеді.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Заңды тұлғаларға берілген кредиттердің көлемі 2013 жылғы </w:t>
      </w:r>
      <w:r>
        <w:rPr>
          <w:rFonts w:ascii="Times New Roman" w:hAnsi="Times New Roman"/>
          <w:sz w:val="24"/>
          <w:szCs w:val="24"/>
          <w:lang w:val="kk-KZ"/>
        </w:rPr>
        <w:t>қыркүйекте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7487,4 </w:t>
      </w:r>
      <w:r w:rsidRPr="008A4416">
        <w:rPr>
          <w:rFonts w:ascii="Times New Roman" w:hAnsi="Times New Roman"/>
          <w:sz w:val="24"/>
          <w:szCs w:val="24"/>
          <w:lang w:val="kk-KZ"/>
        </w:rPr>
        <w:t>млрд. теңгеге дейін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1,0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%-ға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артты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, жеке тұлғаларға кредиттер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3448,3 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млрд. теңгеге дейін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2,3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>-ға ұлғай</w:t>
      </w:r>
      <w:r>
        <w:rPr>
          <w:rFonts w:ascii="Times New Roman" w:hAnsi="Times New Roman"/>
          <w:sz w:val="24"/>
          <w:szCs w:val="24"/>
          <w:lang w:val="kk-KZ"/>
        </w:rPr>
        <w:t>ды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.  Жеке тұлғаларға берілген кредиттердің үлес салмағы бір айда </w:t>
      </w:r>
      <w:r>
        <w:rPr>
          <w:rFonts w:ascii="Times New Roman" w:hAnsi="Times New Roman"/>
          <w:sz w:val="24"/>
          <w:szCs w:val="24"/>
          <w:lang w:val="kk-KZ" w:eastAsia="ru-RU"/>
        </w:rPr>
        <w:t>31,3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%-дан 3</w:t>
      </w:r>
      <w:r>
        <w:rPr>
          <w:rFonts w:ascii="Times New Roman" w:hAnsi="Times New Roman"/>
          <w:sz w:val="24"/>
          <w:szCs w:val="24"/>
          <w:lang w:val="kk-KZ" w:eastAsia="ru-RU"/>
        </w:rPr>
        <w:t>1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,</w:t>
      </w:r>
      <w:r>
        <w:rPr>
          <w:rFonts w:ascii="Times New Roman" w:hAnsi="Times New Roman"/>
          <w:sz w:val="24"/>
          <w:szCs w:val="24"/>
          <w:lang w:val="kk-KZ" w:eastAsia="ru-RU"/>
        </w:rPr>
        <w:t>5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>%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-ға </w:t>
      </w:r>
      <w:r>
        <w:rPr>
          <w:rFonts w:ascii="Times New Roman" w:hAnsi="Times New Roman"/>
          <w:sz w:val="24"/>
          <w:szCs w:val="24"/>
          <w:lang w:val="kk-KZ"/>
        </w:rPr>
        <w:t>дейін өсті</w:t>
      </w:r>
      <w:r w:rsidRPr="008A4416">
        <w:rPr>
          <w:rFonts w:ascii="Times New Roman" w:hAnsi="Times New Roman"/>
          <w:sz w:val="24"/>
          <w:szCs w:val="24"/>
          <w:lang w:val="kk-KZ"/>
        </w:rPr>
        <w:t>.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Шағын кәсіпкерлік субъектілерін кредиттеу 2013 жылғы </w:t>
      </w:r>
      <w:r>
        <w:rPr>
          <w:rFonts w:ascii="Times New Roman" w:hAnsi="Times New Roman"/>
          <w:sz w:val="24"/>
          <w:szCs w:val="24"/>
          <w:lang w:val="kk-KZ"/>
        </w:rPr>
        <w:t xml:space="preserve">қыркүйекте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 xml:space="preserve">1384,3 </w:t>
      </w:r>
      <w:r w:rsidRPr="008A4416">
        <w:rPr>
          <w:rFonts w:ascii="Times New Roman" w:hAnsi="Times New Roman"/>
          <w:sz w:val="24"/>
          <w:szCs w:val="24"/>
          <w:lang w:val="kk-KZ"/>
        </w:rPr>
        <w:t>млрд. теңг</w:t>
      </w:r>
      <w:r>
        <w:rPr>
          <w:rFonts w:ascii="Times New Roman" w:hAnsi="Times New Roman"/>
          <w:sz w:val="24"/>
          <w:szCs w:val="24"/>
          <w:lang w:val="kk-KZ"/>
        </w:rPr>
        <w:t xml:space="preserve">еге дейін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5,4</w:t>
      </w:r>
      <w:r w:rsidRPr="008A4416">
        <w:rPr>
          <w:rFonts w:ascii="Times New Roman" w:hAnsi="Times New Roman"/>
          <w:sz w:val="24"/>
          <w:szCs w:val="24"/>
          <w:lang w:val="kk-KZ" w:eastAsia="ru-RU"/>
        </w:rPr>
        <w:t xml:space="preserve">%-ға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төмендеді </w:t>
      </w:r>
      <w:r>
        <w:rPr>
          <w:rFonts w:ascii="Times New Roman" w:hAnsi="Times New Roman"/>
          <w:sz w:val="24"/>
          <w:szCs w:val="24"/>
          <w:lang w:val="kk-KZ"/>
        </w:rPr>
        <w:t xml:space="preserve">(жылдың басынан бастап төмендеу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2,0</w:t>
      </w:r>
      <w:r w:rsidRPr="008A4416">
        <w:rPr>
          <w:rFonts w:ascii="Times New Roman" w:hAnsi="Times New Roman"/>
          <w:sz w:val="24"/>
          <w:szCs w:val="24"/>
          <w:lang w:val="kk-KZ"/>
        </w:rPr>
        <w:t>%), бұл экономикаға</w:t>
      </w:r>
      <w:r>
        <w:rPr>
          <w:rFonts w:ascii="Times New Roman" w:hAnsi="Times New Roman"/>
          <w:sz w:val="24"/>
          <w:szCs w:val="24"/>
          <w:lang w:val="kk-KZ"/>
        </w:rPr>
        <w:t xml:space="preserve"> берілген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кредиттердің жалпы көлемінің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12,7</w:t>
      </w:r>
      <w:r w:rsidRPr="008A4416">
        <w:rPr>
          <w:rFonts w:ascii="Times New Roman" w:hAnsi="Times New Roman"/>
          <w:sz w:val="24"/>
          <w:szCs w:val="24"/>
          <w:lang w:val="kk-KZ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-ын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құрайды. 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Салалар бойынша банктердің экономикаға </w:t>
      </w:r>
      <w:r>
        <w:rPr>
          <w:rFonts w:ascii="Times New Roman" w:hAnsi="Times New Roman"/>
          <w:sz w:val="24"/>
          <w:szCs w:val="24"/>
          <w:lang w:val="kk-KZ"/>
        </w:rPr>
        <w:t xml:space="preserve">берілген </w:t>
      </w:r>
      <w:r w:rsidRPr="008A4416">
        <w:rPr>
          <w:rFonts w:ascii="Times New Roman" w:hAnsi="Times New Roman"/>
          <w:sz w:val="24"/>
          <w:szCs w:val="24"/>
          <w:lang w:val="kk-KZ"/>
        </w:rPr>
        <w:t>кредиттерінің анағұрлым айтарлықтай сомасы сауда</w:t>
      </w:r>
      <w:r>
        <w:rPr>
          <w:rFonts w:ascii="Times New Roman" w:hAnsi="Times New Roman"/>
          <w:sz w:val="24"/>
          <w:szCs w:val="24"/>
          <w:lang w:val="kk-KZ"/>
        </w:rPr>
        <w:t xml:space="preserve"> (жалпы көлемдегі үлесі – 19,7</w:t>
      </w:r>
      <w:r w:rsidRPr="008A4416">
        <w:rPr>
          <w:rFonts w:ascii="Times New Roman" w:hAnsi="Times New Roman"/>
          <w:sz w:val="24"/>
          <w:szCs w:val="24"/>
          <w:lang w:val="kk-KZ"/>
        </w:rPr>
        <w:t>%), құрылыс (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12,8</w:t>
      </w:r>
      <w:r w:rsidRPr="008A4416">
        <w:rPr>
          <w:rFonts w:ascii="Times New Roman" w:hAnsi="Times New Roman"/>
          <w:sz w:val="24"/>
          <w:szCs w:val="24"/>
          <w:lang w:val="kk-KZ"/>
        </w:rPr>
        <w:t>%), өнеркәсіп (1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8A4416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8A4416">
        <w:rPr>
          <w:rFonts w:ascii="Times New Roman" w:hAnsi="Times New Roman"/>
          <w:sz w:val="24"/>
          <w:szCs w:val="24"/>
          <w:lang w:val="kk-KZ"/>
        </w:rPr>
        <w:t>%), көлік (3,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8A4416">
        <w:rPr>
          <w:rFonts w:ascii="Times New Roman" w:hAnsi="Times New Roman"/>
          <w:sz w:val="24"/>
          <w:szCs w:val="24"/>
          <w:lang w:val="kk-KZ"/>
        </w:rPr>
        <w:t>%) және ауыл шаруашылығы (3,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%) </w:t>
      </w:r>
      <w:r>
        <w:rPr>
          <w:rFonts w:ascii="Times New Roman" w:hAnsi="Times New Roman"/>
          <w:sz w:val="24"/>
          <w:szCs w:val="24"/>
          <w:lang w:val="kk-KZ"/>
        </w:rPr>
        <w:t>сияқты салаларға тиесілі</w:t>
      </w:r>
      <w:r w:rsidRPr="008A4416">
        <w:rPr>
          <w:rFonts w:ascii="Times New Roman" w:hAnsi="Times New Roman"/>
          <w:sz w:val="24"/>
          <w:szCs w:val="24"/>
          <w:lang w:val="kk-KZ"/>
        </w:rPr>
        <w:t>.</w:t>
      </w:r>
    </w:p>
    <w:p w:rsidR="00A66EAB" w:rsidRPr="008A4416" w:rsidRDefault="00A66EAB" w:rsidP="00A66E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8A4416">
        <w:rPr>
          <w:rFonts w:ascii="Times New Roman" w:hAnsi="Times New Roman"/>
          <w:sz w:val="24"/>
          <w:szCs w:val="24"/>
          <w:lang w:val="kk-KZ"/>
        </w:rPr>
        <w:t xml:space="preserve">2013 жылғы </w:t>
      </w:r>
      <w:r>
        <w:rPr>
          <w:rFonts w:ascii="Times New Roman" w:hAnsi="Times New Roman"/>
          <w:sz w:val="24"/>
          <w:szCs w:val="24"/>
          <w:lang w:val="kk-KZ"/>
        </w:rPr>
        <w:t>қыркүйекте б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анктік емес заңды тұлғаларға </w:t>
      </w:r>
      <w:r>
        <w:rPr>
          <w:rFonts w:ascii="Times New Roman" w:hAnsi="Times New Roman"/>
          <w:sz w:val="24"/>
          <w:szCs w:val="24"/>
          <w:lang w:val="kk-KZ"/>
        </w:rPr>
        <w:t>ұлттық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валютада берілген кредиттер бойынша орташа алынған сыйақы </w:t>
      </w:r>
      <w:r>
        <w:rPr>
          <w:rFonts w:ascii="Times New Roman" w:hAnsi="Times New Roman"/>
          <w:sz w:val="24"/>
          <w:szCs w:val="24"/>
          <w:lang w:val="kk-KZ"/>
        </w:rPr>
        <w:t>мөлшерлемесі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10,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 (2013 жылғы </w:t>
      </w:r>
      <w:r>
        <w:rPr>
          <w:rFonts w:ascii="Times New Roman" w:hAnsi="Times New Roman"/>
          <w:sz w:val="24"/>
          <w:szCs w:val="24"/>
          <w:lang w:val="kk-KZ"/>
        </w:rPr>
        <w:t>тамызда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 – 10,</w:t>
      </w:r>
      <w:r>
        <w:rPr>
          <w:rFonts w:ascii="Times New Roman" w:hAnsi="Times New Roman"/>
          <w:sz w:val="24"/>
          <w:szCs w:val="24"/>
          <w:lang w:val="kk-KZ"/>
        </w:rPr>
        <w:t>9</w:t>
      </w:r>
      <w:r w:rsidRPr="008A4416">
        <w:rPr>
          <w:rFonts w:ascii="Times New Roman" w:hAnsi="Times New Roman"/>
          <w:sz w:val="24"/>
          <w:szCs w:val="24"/>
          <w:lang w:val="kk-KZ"/>
        </w:rPr>
        <w:t xml:space="preserve">%), жеке тұлғаларға – 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19,6</w:t>
      </w:r>
      <w:r w:rsidRPr="008A4416">
        <w:rPr>
          <w:rFonts w:ascii="Times New Roman" w:hAnsi="Times New Roman"/>
          <w:sz w:val="24"/>
          <w:szCs w:val="24"/>
          <w:lang w:val="kk-KZ"/>
        </w:rPr>
        <w:t>% (</w:t>
      </w:r>
      <w:r w:rsidRPr="001F76E3">
        <w:rPr>
          <w:rFonts w:ascii="Times New Roman" w:hAnsi="Times New Roman"/>
          <w:sz w:val="24"/>
          <w:szCs w:val="24"/>
          <w:lang w:val="kk-KZ" w:eastAsia="ru-RU"/>
        </w:rPr>
        <w:t>20,1</w:t>
      </w:r>
      <w:r w:rsidRPr="008A4416">
        <w:rPr>
          <w:rFonts w:ascii="Times New Roman" w:hAnsi="Times New Roman"/>
          <w:sz w:val="24"/>
          <w:szCs w:val="24"/>
          <w:lang w:val="kk-KZ"/>
        </w:rPr>
        <w:t>%) болды.</w:t>
      </w:r>
    </w:p>
    <w:p w:rsidR="00A66EAB" w:rsidRPr="001A7D13" w:rsidRDefault="00A66EAB" w:rsidP="00BD5DA2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firstLine="0"/>
        <w:contextualSpacing w:val="0"/>
        <w:jc w:val="both"/>
        <w:rPr>
          <w:rFonts w:ascii="Times New Roman" w:hAnsi="Times New Roman"/>
          <w:color w:val="FFFFFF"/>
          <w:sz w:val="24"/>
          <w:szCs w:val="24"/>
          <w:lang w:val="kk-KZ" w:eastAsia="ru-RU"/>
        </w:rPr>
      </w:pPr>
    </w:p>
    <w:p w:rsidR="00A66EAB" w:rsidRPr="00E5525E" w:rsidRDefault="00A66EAB" w:rsidP="00A66E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</w:p>
    <w:sectPr w:rsidR="00A66EAB" w:rsidRPr="00E5525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66" w:rsidRDefault="001B3366" w:rsidP="00131E40">
      <w:pPr>
        <w:spacing w:after="0" w:line="240" w:lineRule="auto"/>
      </w:pPr>
      <w:r>
        <w:separator/>
      </w:r>
    </w:p>
  </w:endnote>
  <w:endnote w:type="continuationSeparator" w:id="0">
    <w:p w:rsidR="001B3366" w:rsidRDefault="001B3366" w:rsidP="0013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36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1E40" w:rsidRPr="006C0950" w:rsidRDefault="00131E40">
        <w:pPr>
          <w:pStyle w:val="a8"/>
          <w:jc w:val="right"/>
          <w:rPr>
            <w:rFonts w:ascii="Times New Roman" w:hAnsi="Times New Roman"/>
            <w:sz w:val="24"/>
            <w:szCs w:val="24"/>
          </w:rPr>
        </w:pPr>
        <w:r w:rsidRPr="006C0950">
          <w:rPr>
            <w:rFonts w:ascii="Times New Roman" w:hAnsi="Times New Roman"/>
            <w:sz w:val="24"/>
            <w:szCs w:val="24"/>
          </w:rPr>
          <w:fldChar w:fldCharType="begin"/>
        </w:r>
        <w:r w:rsidRPr="006C09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C0950">
          <w:rPr>
            <w:rFonts w:ascii="Times New Roman" w:hAnsi="Times New Roman"/>
            <w:sz w:val="24"/>
            <w:szCs w:val="24"/>
          </w:rPr>
          <w:fldChar w:fldCharType="separate"/>
        </w:r>
        <w:r w:rsidR="00324F02">
          <w:rPr>
            <w:rFonts w:ascii="Times New Roman" w:hAnsi="Times New Roman"/>
            <w:noProof/>
            <w:sz w:val="24"/>
            <w:szCs w:val="24"/>
          </w:rPr>
          <w:t>5</w:t>
        </w:r>
        <w:r w:rsidRPr="006C09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1E40" w:rsidRDefault="00131E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66" w:rsidRDefault="001B3366" w:rsidP="00131E40">
      <w:pPr>
        <w:spacing w:after="0" w:line="240" w:lineRule="auto"/>
      </w:pPr>
      <w:r>
        <w:separator/>
      </w:r>
    </w:p>
  </w:footnote>
  <w:footnote w:type="continuationSeparator" w:id="0">
    <w:p w:rsidR="001B3366" w:rsidRDefault="001B3366" w:rsidP="0013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DAB"/>
    <w:multiLevelType w:val="hybridMultilevel"/>
    <w:tmpl w:val="FF005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F139E5"/>
    <w:multiLevelType w:val="hybridMultilevel"/>
    <w:tmpl w:val="2188A536"/>
    <w:lvl w:ilvl="0" w:tplc="D610AC5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41C24C6"/>
    <w:multiLevelType w:val="hybridMultilevel"/>
    <w:tmpl w:val="15B64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1FB622F"/>
    <w:multiLevelType w:val="hybridMultilevel"/>
    <w:tmpl w:val="4254F0A6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BAA5594"/>
    <w:multiLevelType w:val="hybridMultilevel"/>
    <w:tmpl w:val="B5A4E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E45FB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A7C45"/>
    <w:multiLevelType w:val="hybridMultilevel"/>
    <w:tmpl w:val="634A89B8"/>
    <w:lvl w:ilvl="0" w:tplc="D9EE0F4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A41DC2"/>
    <w:multiLevelType w:val="hybridMultilevel"/>
    <w:tmpl w:val="9BDE2E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4D2488"/>
    <w:multiLevelType w:val="hybridMultilevel"/>
    <w:tmpl w:val="3BC2D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D12B9"/>
    <w:multiLevelType w:val="hybridMultilevel"/>
    <w:tmpl w:val="FBDA8D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4115A5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E34F53"/>
    <w:multiLevelType w:val="hybridMultilevel"/>
    <w:tmpl w:val="C6D0A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71C20"/>
    <w:multiLevelType w:val="hybridMultilevel"/>
    <w:tmpl w:val="22A21A64"/>
    <w:lvl w:ilvl="0" w:tplc="C832D70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E9F7289"/>
    <w:multiLevelType w:val="hybridMultilevel"/>
    <w:tmpl w:val="634A89B8"/>
    <w:lvl w:ilvl="0" w:tplc="D9EE0F4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7"/>
  </w:num>
  <w:num w:numId="5">
    <w:abstractNumId w:val="15"/>
  </w:num>
  <w:num w:numId="6">
    <w:abstractNumId w:val="5"/>
  </w:num>
  <w:num w:numId="7">
    <w:abstractNumId w:val="17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"/>
  </w:num>
  <w:num w:numId="13">
    <w:abstractNumId w:val="8"/>
  </w:num>
  <w:num w:numId="14">
    <w:abstractNumId w:val="3"/>
  </w:num>
  <w:num w:numId="15">
    <w:abstractNumId w:val="12"/>
  </w:num>
  <w:num w:numId="16">
    <w:abstractNumId w:val="10"/>
  </w:num>
  <w:num w:numId="17">
    <w:abstractNumId w:val="11"/>
  </w:num>
  <w:num w:numId="18">
    <w:abstractNumId w:val="13"/>
  </w:num>
  <w:num w:numId="19">
    <w:abstractNumId w:val="20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D"/>
    <w:rsid w:val="00005FB3"/>
    <w:rsid w:val="00033F8B"/>
    <w:rsid w:val="000345A4"/>
    <w:rsid w:val="00034D5D"/>
    <w:rsid w:val="00041987"/>
    <w:rsid w:val="000453DC"/>
    <w:rsid w:val="00045DA2"/>
    <w:rsid w:val="00052698"/>
    <w:rsid w:val="00052CEE"/>
    <w:rsid w:val="00055120"/>
    <w:rsid w:val="00064FEF"/>
    <w:rsid w:val="00081DBF"/>
    <w:rsid w:val="000B0D9D"/>
    <w:rsid w:val="000C185B"/>
    <w:rsid w:val="000D1B63"/>
    <w:rsid w:val="000D2CA7"/>
    <w:rsid w:val="000D54DF"/>
    <w:rsid w:val="000D7A72"/>
    <w:rsid w:val="000E33B0"/>
    <w:rsid w:val="000F7F12"/>
    <w:rsid w:val="0013049B"/>
    <w:rsid w:val="00131E40"/>
    <w:rsid w:val="00132939"/>
    <w:rsid w:val="001359F4"/>
    <w:rsid w:val="00152952"/>
    <w:rsid w:val="001601BE"/>
    <w:rsid w:val="00163604"/>
    <w:rsid w:val="00171942"/>
    <w:rsid w:val="0017194C"/>
    <w:rsid w:val="0017242A"/>
    <w:rsid w:val="00177AFE"/>
    <w:rsid w:val="00192E04"/>
    <w:rsid w:val="00194338"/>
    <w:rsid w:val="00197D16"/>
    <w:rsid w:val="001A52BE"/>
    <w:rsid w:val="001B1A0F"/>
    <w:rsid w:val="001B1BF2"/>
    <w:rsid w:val="001B3366"/>
    <w:rsid w:val="001C0B00"/>
    <w:rsid w:val="001D3B6A"/>
    <w:rsid w:val="001D63DE"/>
    <w:rsid w:val="001F2730"/>
    <w:rsid w:val="002015B1"/>
    <w:rsid w:val="0021002E"/>
    <w:rsid w:val="002121E2"/>
    <w:rsid w:val="00220869"/>
    <w:rsid w:val="00221E8C"/>
    <w:rsid w:val="00224FD7"/>
    <w:rsid w:val="00227F7C"/>
    <w:rsid w:val="00236279"/>
    <w:rsid w:val="002454B4"/>
    <w:rsid w:val="002455E9"/>
    <w:rsid w:val="00254C2E"/>
    <w:rsid w:val="00260231"/>
    <w:rsid w:val="00275A29"/>
    <w:rsid w:val="00275CD2"/>
    <w:rsid w:val="00275EC6"/>
    <w:rsid w:val="002931D5"/>
    <w:rsid w:val="002A1C5F"/>
    <w:rsid w:val="002B060B"/>
    <w:rsid w:val="002B0817"/>
    <w:rsid w:val="002C2DF0"/>
    <w:rsid w:val="002D6586"/>
    <w:rsid w:val="002E011E"/>
    <w:rsid w:val="002E04D5"/>
    <w:rsid w:val="002F6926"/>
    <w:rsid w:val="003045D7"/>
    <w:rsid w:val="003066DF"/>
    <w:rsid w:val="00307203"/>
    <w:rsid w:val="0031019A"/>
    <w:rsid w:val="003210FB"/>
    <w:rsid w:val="00324F02"/>
    <w:rsid w:val="00326371"/>
    <w:rsid w:val="003269F0"/>
    <w:rsid w:val="00337A39"/>
    <w:rsid w:val="00337A7A"/>
    <w:rsid w:val="00340092"/>
    <w:rsid w:val="00342A60"/>
    <w:rsid w:val="00344272"/>
    <w:rsid w:val="00345195"/>
    <w:rsid w:val="0034675B"/>
    <w:rsid w:val="003568EF"/>
    <w:rsid w:val="00360992"/>
    <w:rsid w:val="00363055"/>
    <w:rsid w:val="003758DA"/>
    <w:rsid w:val="003A57FA"/>
    <w:rsid w:val="003C3171"/>
    <w:rsid w:val="003D56DA"/>
    <w:rsid w:val="003D6A4F"/>
    <w:rsid w:val="003F0926"/>
    <w:rsid w:val="00404710"/>
    <w:rsid w:val="00423540"/>
    <w:rsid w:val="00424594"/>
    <w:rsid w:val="00426E25"/>
    <w:rsid w:val="004273AC"/>
    <w:rsid w:val="004314D1"/>
    <w:rsid w:val="00431684"/>
    <w:rsid w:val="00451AAF"/>
    <w:rsid w:val="004535FE"/>
    <w:rsid w:val="00470B90"/>
    <w:rsid w:val="00472C57"/>
    <w:rsid w:val="0047332B"/>
    <w:rsid w:val="00477934"/>
    <w:rsid w:val="00482E51"/>
    <w:rsid w:val="00492065"/>
    <w:rsid w:val="004933B9"/>
    <w:rsid w:val="00494D62"/>
    <w:rsid w:val="00495D71"/>
    <w:rsid w:val="004A0268"/>
    <w:rsid w:val="004B1BCC"/>
    <w:rsid w:val="004B574A"/>
    <w:rsid w:val="004D3814"/>
    <w:rsid w:val="004D5022"/>
    <w:rsid w:val="004D5E68"/>
    <w:rsid w:val="004D6890"/>
    <w:rsid w:val="004E2BF1"/>
    <w:rsid w:val="004E609A"/>
    <w:rsid w:val="004F2A02"/>
    <w:rsid w:val="004F62D7"/>
    <w:rsid w:val="00500E39"/>
    <w:rsid w:val="0050390A"/>
    <w:rsid w:val="00506E0E"/>
    <w:rsid w:val="00512B0F"/>
    <w:rsid w:val="00512B47"/>
    <w:rsid w:val="00516DE3"/>
    <w:rsid w:val="0052499C"/>
    <w:rsid w:val="00533C2D"/>
    <w:rsid w:val="00554018"/>
    <w:rsid w:val="00555D1A"/>
    <w:rsid w:val="00557D13"/>
    <w:rsid w:val="00561F92"/>
    <w:rsid w:val="0056604D"/>
    <w:rsid w:val="005869DE"/>
    <w:rsid w:val="00586B76"/>
    <w:rsid w:val="00591AE1"/>
    <w:rsid w:val="00592BF7"/>
    <w:rsid w:val="00595CA7"/>
    <w:rsid w:val="005A1F86"/>
    <w:rsid w:val="005A22F1"/>
    <w:rsid w:val="005B676D"/>
    <w:rsid w:val="005C28CF"/>
    <w:rsid w:val="005C2E30"/>
    <w:rsid w:val="005C52B7"/>
    <w:rsid w:val="005C713A"/>
    <w:rsid w:val="005D755C"/>
    <w:rsid w:val="005E42E8"/>
    <w:rsid w:val="005F1228"/>
    <w:rsid w:val="0060476D"/>
    <w:rsid w:val="0060797B"/>
    <w:rsid w:val="00610DC1"/>
    <w:rsid w:val="00631F1E"/>
    <w:rsid w:val="00665BDA"/>
    <w:rsid w:val="006726AE"/>
    <w:rsid w:val="00673103"/>
    <w:rsid w:val="00673A65"/>
    <w:rsid w:val="00673AA5"/>
    <w:rsid w:val="00684618"/>
    <w:rsid w:val="00696065"/>
    <w:rsid w:val="006A7874"/>
    <w:rsid w:val="006C0950"/>
    <w:rsid w:val="006C2830"/>
    <w:rsid w:val="006C5563"/>
    <w:rsid w:val="006F2800"/>
    <w:rsid w:val="006F2D55"/>
    <w:rsid w:val="006F3072"/>
    <w:rsid w:val="006F3609"/>
    <w:rsid w:val="006F4ADD"/>
    <w:rsid w:val="006F648E"/>
    <w:rsid w:val="007030EC"/>
    <w:rsid w:val="00712DA9"/>
    <w:rsid w:val="007215A1"/>
    <w:rsid w:val="007300F1"/>
    <w:rsid w:val="00743205"/>
    <w:rsid w:val="0074323E"/>
    <w:rsid w:val="00750FDF"/>
    <w:rsid w:val="00751D83"/>
    <w:rsid w:val="00761966"/>
    <w:rsid w:val="007657F2"/>
    <w:rsid w:val="007745CD"/>
    <w:rsid w:val="00781270"/>
    <w:rsid w:val="00790BAF"/>
    <w:rsid w:val="007959B1"/>
    <w:rsid w:val="007976AD"/>
    <w:rsid w:val="007A3299"/>
    <w:rsid w:val="007A3627"/>
    <w:rsid w:val="007B72CB"/>
    <w:rsid w:val="007C410B"/>
    <w:rsid w:val="007D10BE"/>
    <w:rsid w:val="007D32E9"/>
    <w:rsid w:val="007E2876"/>
    <w:rsid w:val="007E468D"/>
    <w:rsid w:val="007E4F49"/>
    <w:rsid w:val="007E6259"/>
    <w:rsid w:val="007E7D0B"/>
    <w:rsid w:val="008018BA"/>
    <w:rsid w:val="0080541D"/>
    <w:rsid w:val="0080667B"/>
    <w:rsid w:val="00833554"/>
    <w:rsid w:val="00834895"/>
    <w:rsid w:val="00837388"/>
    <w:rsid w:val="0085232C"/>
    <w:rsid w:val="00855008"/>
    <w:rsid w:val="00864B61"/>
    <w:rsid w:val="00870172"/>
    <w:rsid w:val="008705A4"/>
    <w:rsid w:val="00874D76"/>
    <w:rsid w:val="0087659B"/>
    <w:rsid w:val="008774EE"/>
    <w:rsid w:val="00877BFD"/>
    <w:rsid w:val="00880076"/>
    <w:rsid w:val="008809CD"/>
    <w:rsid w:val="00892467"/>
    <w:rsid w:val="00892DF8"/>
    <w:rsid w:val="008964EE"/>
    <w:rsid w:val="008A547A"/>
    <w:rsid w:val="008A6EBC"/>
    <w:rsid w:val="008B1B89"/>
    <w:rsid w:val="008B292D"/>
    <w:rsid w:val="008B55FE"/>
    <w:rsid w:val="008B5ABA"/>
    <w:rsid w:val="008C669C"/>
    <w:rsid w:val="008C6C10"/>
    <w:rsid w:val="008D2A4A"/>
    <w:rsid w:val="008E27CE"/>
    <w:rsid w:val="00900F7C"/>
    <w:rsid w:val="009134F4"/>
    <w:rsid w:val="00931186"/>
    <w:rsid w:val="0093523D"/>
    <w:rsid w:val="0094168C"/>
    <w:rsid w:val="00947E9A"/>
    <w:rsid w:val="00950B39"/>
    <w:rsid w:val="00964500"/>
    <w:rsid w:val="00975D4D"/>
    <w:rsid w:val="00983259"/>
    <w:rsid w:val="00991529"/>
    <w:rsid w:val="009959E7"/>
    <w:rsid w:val="00997426"/>
    <w:rsid w:val="009A13D5"/>
    <w:rsid w:val="009B3D8E"/>
    <w:rsid w:val="009C0260"/>
    <w:rsid w:val="009C2BD0"/>
    <w:rsid w:val="009C5C84"/>
    <w:rsid w:val="009C676A"/>
    <w:rsid w:val="009D77FD"/>
    <w:rsid w:val="009D7F92"/>
    <w:rsid w:val="009E3348"/>
    <w:rsid w:val="00A03E36"/>
    <w:rsid w:val="00A20919"/>
    <w:rsid w:val="00A2260E"/>
    <w:rsid w:val="00A23BFB"/>
    <w:rsid w:val="00A33FB1"/>
    <w:rsid w:val="00A553B6"/>
    <w:rsid w:val="00A558BA"/>
    <w:rsid w:val="00A66EAB"/>
    <w:rsid w:val="00A67423"/>
    <w:rsid w:val="00A9247C"/>
    <w:rsid w:val="00A96DE0"/>
    <w:rsid w:val="00AA0B58"/>
    <w:rsid w:val="00AA2907"/>
    <w:rsid w:val="00AA553D"/>
    <w:rsid w:val="00AC355B"/>
    <w:rsid w:val="00AC5B07"/>
    <w:rsid w:val="00AD5A42"/>
    <w:rsid w:val="00AD6B01"/>
    <w:rsid w:val="00AE49D8"/>
    <w:rsid w:val="00AE6E3C"/>
    <w:rsid w:val="00AF1682"/>
    <w:rsid w:val="00AF2B36"/>
    <w:rsid w:val="00AF5744"/>
    <w:rsid w:val="00B01CA6"/>
    <w:rsid w:val="00B05AAE"/>
    <w:rsid w:val="00B37AC9"/>
    <w:rsid w:val="00B82AD2"/>
    <w:rsid w:val="00B93C35"/>
    <w:rsid w:val="00BB29D3"/>
    <w:rsid w:val="00BB458A"/>
    <w:rsid w:val="00BB5193"/>
    <w:rsid w:val="00BC0245"/>
    <w:rsid w:val="00BC03B6"/>
    <w:rsid w:val="00BD38C5"/>
    <w:rsid w:val="00BD5DA2"/>
    <w:rsid w:val="00C033DB"/>
    <w:rsid w:val="00C077C0"/>
    <w:rsid w:val="00C14638"/>
    <w:rsid w:val="00C2060E"/>
    <w:rsid w:val="00C2595C"/>
    <w:rsid w:val="00C425E1"/>
    <w:rsid w:val="00C46929"/>
    <w:rsid w:val="00C507D7"/>
    <w:rsid w:val="00C52CDE"/>
    <w:rsid w:val="00C5705E"/>
    <w:rsid w:val="00C80B33"/>
    <w:rsid w:val="00C81084"/>
    <w:rsid w:val="00C82D48"/>
    <w:rsid w:val="00C87F0E"/>
    <w:rsid w:val="00CB4F03"/>
    <w:rsid w:val="00CC0D8D"/>
    <w:rsid w:val="00CC3E55"/>
    <w:rsid w:val="00CC4B4D"/>
    <w:rsid w:val="00CE7300"/>
    <w:rsid w:val="00CE79DA"/>
    <w:rsid w:val="00CF7092"/>
    <w:rsid w:val="00D053E2"/>
    <w:rsid w:val="00D14E49"/>
    <w:rsid w:val="00D15BC4"/>
    <w:rsid w:val="00D25CEC"/>
    <w:rsid w:val="00D309FB"/>
    <w:rsid w:val="00D31FDC"/>
    <w:rsid w:val="00D35750"/>
    <w:rsid w:val="00D452C2"/>
    <w:rsid w:val="00D539A4"/>
    <w:rsid w:val="00D57439"/>
    <w:rsid w:val="00D663D2"/>
    <w:rsid w:val="00D8183C"/>
    <w:rsid w:val="00D83054"/>
    <w:rsid w:val="00D85376"/>
    <w:rsid w:val="00D919CE"/>
    <w:rsid w:val="00D93ED1"/>
    <w:rsid w:val="00D95F2C"/>
    <w:rsid w:val="00DB5A62"/>
    <w:rsid w:val="00DB7571"/>
    <w:rsid w:val="00DC2816"/>
    <w:rsid w:val="00DC2A10"/>
    <w:rsid w:val="00DC5010"/>
    <w:rsid w:val="00DD04F4"/>
    <w:rsid w:val="00DE7DE0"/>
    <w:rsid w:val="00DF0C9F"/>
    <w:rsid w:val="00DF1D10"/>
    <w:rsid w:val="00DF208A"/>
    <w:rsid w:val="00E01C65"/>
    <w:rsid w:val="00E104DD"/>
    <w:rsid w:val="00E21D75"/>
    <w:rsid w:val="00E22DAE"/>
    <w:rsid w:val="00E26002"/>
    <w:rsid w:val="00E30A31"/>
    <w:rsid w:val="00E42F0D"/>
    <w:rsid w:val="00E430D5"/>
    <w:rsid w:val="00E434F1"/>
    <w:rsid w:val="00E467CF"/>
    <w:rsid w:val="00E602BD"/>
    <w:rsid w:val="00E6171C"/>
    <w:rsid w:val="00E61853"/>
    <w:rsid w:val="00E62AB9"/>
    <w:rsid w:val="00E851B6"/>
    <w:rsid w:val="00E9675E"/>
    <w:rsid w:val="00EA5980"/>
    <w:rsid w:val="00EB6446"/>
    <w:rsid w:val="00EC1B41"/>
    <w:rsid w:val="00EE4266"/>
    <w:rsid w:val="00EF1DEE"/>
    <w:rsid w:val="00EF2992"/>
    <w:rsid w:val="00F04D79"/>
    <w:rsid w:val="00F1480A"/>
    <w:rsid w:val="00F34676"/>
    <w:rsid w:val="00F36F06"/>
    <w:rsid w:val="00F37CD3"/>
    <w:rsid w:val="00F51933"/>
    <w:rsid w:val="00F625E6"/>
    <w:rsid w:val="00F65B26"/>
    <w:rsid w:val="00F90397"/>
    <w:rsid w:val="00F927EA"/>
    <w:rsid w:val="00F97FD4"/>
    <w:rsid w:val="00FA6EBF"/>
    <w:rsid w:val="00FC2553"/>
    <w:rsid w:val="00F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  <w:style w:type="paragraph" w:styleId="ab">
    <w:name w:val="footnote text"/>
    <w:basedOn w:val="a"/>
    <w:link w:val="ac"/>
    <w:semiHidden/>
    <w:rsid w:val="001724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7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7242A"/>
    <w:rPr>
      <w:vertAlign w:val="superscript"/>
    </w:rPr>
  </w:style>
  <w:style w:type="paragraph" w:customStyle="1" w:styleId="1">
    <w:name w:val="Знак1 Знак Знак Знак"/>
    <w:basedOn w:val="a"/>
    <w:autoRedefine/>
    <w:rsid w:val="00C8108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0">
    <w:name w:val="Абзац списка1"/>
    <w:basedOn w:val="a"/>
    <w:rsid w:val="00555D1A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4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9C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40"/>
    <w:rPr>
      <w:rFonts w:ascii="Calibri" w:eastAsia="Calibri" w:hAnsi="Calibri" w:cs="Times New Roman"/>
    </w:rPr>
  </w:style>
  <w:style w:type="paragraph" w:customStyle="1" w:styleId="aa">
    <w:name w:val="Инфляционный обзор_обычный"/>
    <w:basedOn w:val="a"/>
    <w:rsid w:val="00177A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ps">
    <w:name w:val="hps"/>
    <w:rsid w:val="00586B76"/>
  </w:style>
  <w:style w:type="paragraph" w:styleId="ab">
    <w:name w:val="footnote text"/>
    <w:basedOn w:val="a"/>
    <w:link w:val="ac"/>
    <w:semiHidden/>
    <w:rsid w:val="001724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7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7242A"/>
    <w:rPr>
      <w:vertAlign w:val="superscript"/>
    </w:rPr>
  </w:style>
  <w:style w:type="paragraph" w:customStyle="1" w:styleId="1">
    <w:name w:val="Знак1 Знак Знак Знак"/>
    <w:basedOn w:val="a"/>
    <w:autoRedefine/>
    <w:rsid w:val="00C81084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customStyle="1" w:styleId="10">
    <w:name w:val="Абзац списка1"/>
    <w:basedOn w:val="a"/>
    <w:rsid w:val="00555D1A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872204472843447E-2"/>
          <c:y val="6.1855670103092786E-2"/>
          <c:w val="0.92172523961661346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2012 жыл</c:v>
                </c:pt>
              </c:strCache>
            </c:strRef>
          </c:tx>
          <c:spPr>
            <a:solidFill>
              <a:srgbClr val="00CCFF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Азық-түлік тауарлары</c:v>
                </c:pt>
                <c:pt idx="2">
                  <c:v>Азық-түлікке жатпайтын тауарлар</c:v>
                </c:pt>
                <c:pt idx="3">
                  <c:v>Қызмет көрсету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4.5999999999999996</c:v>
                </c:pt>
                <c:pt idx="1">
                  <c:v>3.8</c:v>
                </c:pt>
                <c:pt idx="2">
                  <c:v>2.8</c:v>
                </c:pt>
                <c:pt idx="3">
                  <c:v>7.5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2013 жыл</c:v>
                </c:pt>
              </c:strCache>
            </c:strRef>
          </c:tx>
          <c:spPr>
            <a:solidFill>
              <a:srgbClr val="FFFF00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Азық-түлік тауарлары</c:v>
                </c:pt>
                <c:pt idx="2">
                  <c:v>Азық-түлікке жатпайтын тауарлар</c:v>
                </c:pt>
                <c:pt idx="3">
                  <c:v>Қызмет көрсету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3.6</c:v>
                </c:pt>
                <c:pt idx="1">
                  <c:v>1.8</c:v>
                </c:pt>
                <c:pt idx="2">
                  <c:v>2.2000000000000002</c:v>
                </c:pt>
                <c:pt idx="3" formatCode="0.0">
                  <c:v>7.1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424512"/>
        <c:axId val="75744960"/>
      </c:barChart>
      <c:catAx>
        <c:axId val="17542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5744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5744960"/>
        <c:scaling>
          <c:orientation val="minMax"/>
          <c:max val="8"/>
          <c:min val="0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294048556088"/>
            </c:manualLayout>
          </c:layout>
          <c:overlay val="0"/>
          <c:spPr>
            <a:noFill/>
            <a:ln w="25426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5424512"/>
        <c:crosses val="autoZero"/>
        <c:crossBetween val="between"/>
        <c:majorUnit val="1"/>
        <c:minorUnit val="1"/>
      </c:valAx>
      <c:spPr>
        <a:noFill/>
        <a:ln w="25426">
          <a:noFill/>
        </a:ln>
      </c:spPr>
    </c:plotArea>
    <c:legend>
      <c:legendPos val="r"/>
      <c:layout>
        <c:manualLayout>
          <c:xMode val="edge"/>
          <c:yMode val="edge"/>
          <c:x val="0.35463268076008997"/>
          <c:y val="0.902061869386378"/>
          <c:w val="0.35942508349572627"/>
          <c:h val="8.2474243263653491E-2"/>
        </c:manualLayout>
      </c:layout>
      <c:overlay val="0"/>
      <c:spPr>
        <a:solidFill>
          <a:srgbClr val="FFFFFF"/>
        </a:solidFill>
        <a:ln w="25426">
          <a:noFill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871A-12AD-44A1-9815-D9DA81ED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2186</Words>
  <Characters>12461</Characters>
  <Application>Microsoft Office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Исмаилханова</dc:creator>
  <cp:lastModifiedBy>John Magic</cp:lastModifiedBy>
  <cp:revision>2</cp:revision>
  <cp:lastPrinted>2013-11-08T08:21:00Z</cp:lastPrinted>
  <dcterms:created xsi:type="dcterms:W3CDTF">2013-11-19T05:22:00Z</dcterms:created>
  <dcterms:modified xsi:type="dcterms:W3CDTF">2013-11-19T05:22:00Z</dcterms:modified>
</cp:coreProperties>
</file>